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8F90" w14:textId="77777777" w:rsidR="00696354" w:rsidRDefault="001700CE">
      <w:pPr>
        <w:spacing w:before="174"/>
        <w:ind w:left="2241"/>
        <w:rPr>
          <w:rFonts w:ascii="Verdana"/>
          <w:b/>
          <w:i/>
          <w:sz w:val="20"/>
        </w:rPr>
      </w:pPr>
      <w:r>
        <w:rPr>
          <w:rFonts w:ascii="Verdana"/>
          <w:b/>
          <w:i/>
          <w:color w:val="231F20"/>
          <w:w w:val="95"/>
          <w:sz w:val="20"/>
        </w:rPr>
        <w:t>Basisgegevens</w:t>
      </w:r>
    </w:p>
    <w:p w14:paraId="5135420E" w14:textId="77777777" w:rsidR="00696354" w:rsidRDefault="00696354">
      <w:pPr>
        <w:pStyle w:val="Plattetekst"/>
        <w:spacing w:before="6"/>
        <w:rPr>
          <w:rFonts w:ascii="Verdana"/>
          <w:b/>
          <w:i/>
          <w:sz w:val="20"/>
        </w:rPr>
      </w:pPr>
    </w:p>
    <w:tbl>
      <w:tblPr>
        <w:tblStyle w:val="TableNormal1"/>
        <w:tblW w:w="0" w:type="auto"/>
        <w:tblInd w:w="2241" w:type="dxa"/>
        <w:tblBorders>
          <w:top w:val="single" w:sz="3" w:space="0" w:color="231F20"/>
          <w:left w:val="single" w:sz="3" w:space="0" w:color="231F20"/>
          <w:bottom w:val="single" w:sz="3" w:space="0" w:color="231F20"/>
          <w:right w:val="single" w:sz="3" w:space="0" w:color="231F20"/>
          <w:insideH w:val="single" w:sz="3" w:space="0" w:color="231F20"/>
          <w:insideV w:val="single" w:sz="3" w:space="0" w:color="231F20"/>
        </w:tblBorders>
        <w:tblLayout w:type="fixed"/>
        <w:tblLook w:val="01E0" w:firstRow="1" w:lastRow="1" w:firstColumn="1" w:lastColumn="1" w:noHBand="0" w:noVBand="0"/>
      </w:tblPr>
      <w:tblGrid>
        <w:gridCol w:w="3064"/>
        <w:gridCol w:w="5715"/>
      </w:tblGrid>
      <w:tr w:rsidR="00696354" w:rsidRPr="00F245AA" w14:paraId="2E8D9538" w14:textId="77777777">
        <w:trPr>
          <w:trHeight w:hRule="exact" w:val="329"/>
        </w:trPr>
        <w:tc>
          <w:tcPr>
            <w:tcW w:w="3064" w:type="dxa"/>
          </w:tcPr>
          <w:p w14:paraId="0333FC84" w14:textId="77777777" w:rsidR="00696354" w:rsidRDefault="001700CE">
            <w:pPr>
              <w:pStyle w:val="TableParagraph"/>
              <w:spacing w:before="72"/>
              <w:rPr>
                <w:sz w:val="14"/>
              </w:rPr>
            </w:pPr>
            <w:r>
              <w:rPr>
                <w:color w:val="231F20"/>
                <w:w w:val="105"/>
                <w:sz w:val="14"/>
              </w:rPr>
              <w:t>Naam instelling(en)</w:t>
            </w:r>
          </w:p>
        </w:tc>
        <w:tc>
          <w:tcPr>
            <w:tcW w:w="5715" w:type="dxa"/>
          </w:tcPr>
          <w:p w14:paraId="7C6AF6DE" w14:textId="6759D768" w:rsidR="00696354" w:rsidRPr="00B813DC" w:rsidRDefault="00B813DC">
            <w:pPr>
              <w:rPr>
                <w:lang w:val="nl-NL"/>
              </w:rPr>
            </w:pPr>
            <w:r w:rsidRPr="00DF0806">
              <w:rPr>
                <w:sz w:val="18"/>
                <w:szCs w:val="18"/>
                <w:lang w:val="nl-NL"/>
              </w:rPr>
              <w:t>Hogeschool van Arnhem en Nijmegen (HAN)</w:t>
            </w:r>
          </w:p>
        </w:tc>
      </w:tr>
      <w:tr w:rsidR="00696354" w14:paraId="448A3242" w14:textId="77777777">
        <w:trPr>
          <w:trHeight w:hRule="exact" w:val="340"/>
        </w:trPr>
        <w:tc>
          <w:tcPr>
            <w:tcW w:w="3064" w:type="dxa"/>
          </w:tcPr>
          <w:p w14:paraId="748D4ED9" w14:textId="77777777" w:rsidR="00696354" w:rsidRDefault="001700CE">
            <w:pPr>
              <w:pStyle w:val="TableParagraph"/>
              <w:rPr>
                <w:sz w:val="14"/>
              </w:rPr>
            </w:pPr>
            <w:r>
              <w:rPr>
                <w:color w:val="231F20"/>
                <w:w w:val="110"/>
                <w:sz w:val="14"/>
              </w:rPr>
              <w:t>Naam opleiding</w:t>
            </w:r>
          </w:p>
        </w:tc>
        <w:tc>
          <w:tcPr>
            <w:tcW w:w="5715" w:type="dxa"/>
          </w:tcPr>
          <w:p w14:paraId="6C16DF87" w14:textId="1F9870B4" w:rsidR="00696354" w:rsidRPr="00E32D2E" w:rsidRDefault="00B813DC">
            <w:pPr>
              <w:rPr>
                <w:sz w:val="18"/>
                <w:szCs w:val="18"/>
              </w:rPr>
            </w:pPr>
            <w:r w:rsidRPr="00E32D2E">
              <w:rPr>
                <w:sz w:val="18"/>
                <w:szCs w:val="18"/>
              </w:rPr>
              <w:t>Circulaire Economie</w:t>
            </w:r>
            <w:r w:rsidR="000A428F" w:rsidRPr="00E32D2E">
              <w:rPr>
                <w:sz w:val="18"/>
                <w:szCs w:val="18"/>
              </w:rPr>
              <w:t xml:space="preserve"> (CE)</w:t>
            </w:r>
          </w:p>
        </w:tc>
      </w:tr>
      <w:tr w:rsidR="00696354" w14:paraId="4E02F447" w14:textId="77777777">
        <w:trPr>
          <w:trHeight w:hRule="exact" w:val="340"/>
        </w:trPr>
        <w:tc>
          <w:tcPr>
            <w:tcW w:w="3064" w:type="dxa"/>
          </w:tcPr>
          <w:p w14:paraId="04B6DD54" w14:textId="77777777" w:rsidR="00696354" w:rsidRDefault="001700CE">
            <w:pPr>
              <w:pStyle w:val="TableParagraph"/>
              <w:rPr>
                <w:sz w:val="14"/>
              </w:rPr>
            </w:pPr>
            <w:r>
              <w:rPr>
                <w:color w:val="231F20"/>
                <w:w w:val="110"/>
                <w:sz w:val="14"/>
              </w:rPr>
              <w:t>Internationale naam opleiding</w:t>
            </w:r>
          </w:p>
        </w:tc>
        <w:tc>
          <w:tcPr>
            <w:tcW w:w="5715" w:type="dxa"/>
          </w:tcPr>
          <w:p w14:paraId="7655A0B3" w14:textId="36287226" w:rsidR="00696354" w:rsidRPr="00E32D2E" w:rsidRDefault="00DE2FA1">
            <w:pPr>
              <w:rPr>
                <w:sz w:val="18"/>
                <w:szCs w:val="18"/>
              </w:rPr>
            </w:pPr>
            <w:r>
              <w:rPr>
                <w:sz w:val="18"/>
                <w:szCs w:val="18"/>
              </w:rPr>
              <w:t>Circulair Economy</w:t>
            </w:r>
          </w:p>
        </w:tc>
      </w:tr>
      <w:tr w:rsidR="00696354" w14:paraId="0455E07C" w14:textId="77777777">
        <w:trPr>
          <w:trHeight w:hRule="exact" w:val="340"/>
        </w:trPr>
        <w:tc>
          <w:tcPr>
            <w:tcW w:w="3064" w:type="dxa"/>
          </w:tcPr>
          <w:p w14:paraId="62622E5E" w14:textId="77777777" w:rsidR="00696354" w:rsidRDefault="001700CE">
            <w:pPr>
              <w:pStyle w:val="TableParagraph"/>
              <w:rPr>
                <w:sz w:val="14"/>
              </w:rPr>
            </w:pPr>
            <w:r>
              <w:rPr>
                <w:color w:val="231F20"/>
                <w:w w:val="105"/>
                <w:sz w:val="14"/>
              </w:rPr>
              <w:t>Taal</w:t>
            </w:r>
          </w:p>
        </w:tc>
        <w:tc>
          <w:tcPr>
            <w:tcW w:w="5715" w:type="dxa"/>
          </w:tcPr>
          <w:p w14:paraId="6B99BF89" w14:textId="5181B233" w:rsidR="00696354" w:rsidRPr="00E32D2E" w:rsidRDefault="00DD38E6">
            <w:pPr>
              <w:rPr>
                <w:sz w:val="18"/>
                <w:szCs w:val="18"/>
              </w:rPr>
            </w:pPr>
            <w:r>
              <w:rPr>
                <w:sz w:val="18"/>
                <w:szCs w:val="18"/>
              </w:rPr>
              <w:t>Nederlands</w:t>
            </w:r>
          </w:p>
        </w:tc>
      </w:tr>
      <w:tr w:rsidR="00696354" w:rsidRPr="003139E9" w14:paraId="0332E81F" w14:textId="77777777">
        <w:trPr>
          <w:trHeight w:hRule="exact" w:val="680"/>
        </w:trPr>
        <w:tc>
          <w:tcPr>
            <w:tcW w:w="3064" w:type="dxa"/>
          </w:tcPr>
          <w:p w14:paraId="6D91B64F" w14:textId="77777777" w:rsidR="00696354" w:rsidRPr="003139E9" w:rsidRDefault="001700CE">
            <w:pPr>
              <w:pStyle w:val="TableParagraph"/>
              <w:spacing w:line="254" w:lineRule="auto"/>
              <w:ind w:right="200"/>
              <w:rPr>
                <w:sz w:val="14"/>
                <w:lang w:val="nl-NL"/>
              </w:rPr>
            </w:pPr>
            <w:r w:rsidRPr="003139E9">
              <w:rPr>
                <w:color w:val="231F20"/>
                <w:w w:val="105"/>
                <w:sz w:val="14"/>
                <w:lang w:val="nl-NL"/>
              </w:rPr>
              <w:t>In geval van een associate degree- opleiding, indien van toepassing: welke bve-instelling verzorgt mede de  opleiding</w:t>
            </w:r>
          </w:p>
        </w:tc>
        <w:tc>
          <w:tcPr>
            <w:tcW w:w="5715" w:type="dxa"/>
          </w:tcPr>
          <w:p w14:paraId="0A0BD68F" w14:textId="0FC03EDC" w:rsidR="00696354" w:rsidRPr="00E32D2E" w:rsidRDefault="000A428F">
            <w:pPr>
              <w:rPr>
                <w:sz w:val="18"/>
                <w:szCs w:val="18"/>
                <w:lang w:val="nl-NL"/>
              </w:rPr>
            </w:pPr>
            <w:r w:rsidRPr="00E32D2E">
              <w:rPr>
                <w:sz w:val="18"/>
                <w:szCs w:val="18"/>
                <w:lang w:val="nl-NL"/>
              </w:rPr>
              <w:t>n.v.t.</w:t>
            </w:r>
          </w:p>
        </w:tc>
      </w:tr>
      <w:tr w:rsidR="00696354" w:rsidRPr="003139E9" w14:paraId="66242F40" w14:textId="77777777">
        <w:trPr>
          <w:trHeight w:hRule="exact" w:val="680"/>
        </w:trPr>
        <w:tc>
          <w:tcPr>
            <w:tcW w:w="3064" w:type="dxa"/>
          </w:tcPr>
          <w:p w14:paraId="52FF9B44" w14:textId="77777777" w:rsidR="00696354" w:rsidRPr="003139E9" w:rsidRDefault="001700CE">
            <w:pPr>
              <w:pStyle w:val="TableParagraph"/>
              <w:spacing w:line="254" w:lineRule="auto"/>
              <w:ind w:right="242"/>
              <w:rPr>
                <w:sz w:val="14"/>
                <w:lang w:val="nl-NL"/>
              </w:rPr>
            </w:pPr>
            <w:r w:rsidRPr="003139E9">
              <w:rPr>
                <w:color w:val="231F20"/>
                <w:w w:val="110"/>
                <w:sz w:val="14"/>
                <w:lang w:val="nl-NL"/>
              </w:rPr>
              <w:t>In geval van een joint degree-opleiding: welke instelling verzorgt mede de opleiding</w:t>
            </w:r>
          </w:p>
        </w:tc>
        <w:tc>
          <w:tcPr>
            <w:tcW w:w="5715" w:type="dxa"/>
          </w:tcPr>
          <w:p w14:paraId="32F46DC7" w14:textId="53F44D51" w:rsidR="00696354" w:rsidRPr="00E32D2E" w:rsidRDefault="00F439FC">
            <w:pPr>
              <w:rPr>
                <w:sz w:val="18"/>
                <w:szCs w:val="18"/>
                <w:lang w:val="nl-NL"/>
              </w:rPr>
            </w:pPr>
            <w:r w:rsidRPr="00E32D2E">
              <w:rPr>
                <w:sz w:val="18"/>
                <w:szCs w:val="18"/>
                <w:lang w:val="nl-NL"/>
              </w:rPr>
              <w:t>n.v.t.</w:t>
            </w:r>
          </w:p>
        </w:tc>
      </w:tr>
      <w:tr w:rsidR="00696354" w14:paraId="7ADFAA0E" w14:textId="77777777">
        <w:trPr>
          <w:trHeight w:hRule="exact" w:val="680"/>
        </w:trPr>
        <w:tc>
          <w:tcPr>
            <w:tcW w:w="3064" w:type="dxa"/>
          </w:tcPr>
          <w:p w14:paraId="1535A0CA" w14:textId="77777777" w:rsidR="00696354" w:rsidRDefault="001700CE">
            <w:pPr>
              <w:pStyle w:val="TableParagraph"/>
              <w:spacing w:line="254" w:lineRule="auto"/>
              <w:ind w:right="200"/>
              <w:rPr>
                <w:sz w:val="14"/>
              </w:rPr>
            </w:pPr>
            <w:r>
              <w:rPr>
                <w:color w:val="231F20"/>
                <w:w w:val="110"/>
                <w:sz w:val="14"/>
              </w:rPr>
              <w:t>Opleidingsniveau (associate degree- opleiding, hbo bachelor, hbo master, wo bachelor, wo master)</w:t>
            </w:r>
          </w:p>
        </w:tc>
        <w:tc>
          <w:tcPr>
            <w:tcW w:w="5715" w:type="dxa"/>
          </w:tcPr>
          <w:p w14:paraId="4566267F" w14:textId="6877F233" w:rsidR="00696354" w:rsidRPr="00E32D2E" w:rsidRDefault="00A05873">
            <w:pPr>
              <w:rPr>
                <w:sz w:val="18"/>
                <w:szCs w:val="18"/>
              </w:rPr>
            </w:pPr>
            <w:r w:rsidRPr="00E32D2E">
              <w:rPr>
                <w:sz w:val="18"/>
                <w:szCs w:val="18"/>
              </w:rPr>
              <w:t>h</w:t>
            </w:r>
            <w:r w:rsidR="0036695C" w:rsidRPr="00E32D2E">
              <w:rPr>
                <w:sz w:val="18"/>
                <w:szCs w:val="18"/>
              </w:rPr>
              <w:t>bo master</w:t>
            </w:r>
          </w:p>
        </w:tc>
      </w:tr>
      <w:tr w:rsidR="00696354" w:rsidRPr="0000056D" w14:paraId="3C8B1B69" w14:textId="77777777" w:rsidTr="004454F5">
        <w:trPr>
          <w:trHeight w:hRule="exact" w:val="5051"/>
        </w:trPr>
        <w:tc>
          <w:tcPr>
            <w:tcW w:w="3064" w:type="dxa"/>
            <w:tcBorders>
              <w:bottom w:val="single" w:sz="4" w:space="0" w:color="231F20"/>
            </w:tcBorders>
          </w:tcPr>
          <w:p w14:paraId="718BC5B5" w14:textId="77777777" w:rsidR="00696354" w:rsidRDefault="001700CE">
            <w:pPr>
              <w:pStyle w:val="TableParagraph"/>
              <w:rPr>
                <w:sz w:val="14"/>
              </w:rPr>
            </w:pPr>
            <w:r>
              <w:rPr>
                <w:color w:val="231F20"/>
                <w:w w:val="110"/>
                <w:sz w:val="14"/>
              </w:rPr>
              <w:t>Inhoud (korte beschrijving opleiding)</w:t>
            </w:r>
          </w:p>
        </w:tc>
        <w:tc>
          <w:tcPr>
            <w:tcW w:w="5715" w:type="dxa"/>
            <w:tcBorders>
              <w:bottom w:val="single" w:sz="4" w:space="0" w:color="231F20"/>
            </w:tcBorders>
          </w:tcPr>
          <w:p w14:paraId="75DEB5D2" w14:textId="3DFE2CF1" w:rsidR="00090164" w:rsidRPr="004E48A9" w:rsidRDefault="00090164" w:rsidP="00090164">
            <w:pPr>
              <w:rPr>
                <w:sz w:val="18"/>
                <w:szCs w:val="18"/>
                <w:lang w:val="nl-NL"/>
              </w:rPr>
            </w:pPr>
            <w:r w:rsidRPr="004E48A9">
              <w:rPr>
                <w:sz w:val="18"/>
                <w:szCs w:val="18"/>
                <w:lang w:val="nl-NL"/>
              </w:rPr>
              <w:t>De master Circulaire economie (CE) is een éénjarige opleiding in</w:t>
            </w:r>
            <w:r w:rsidR="009A50D2">
              <w:rPr>
                <w:sz w:val="18"/>
                <w:szCs w:val="18"/>
                <w:lang w:val="nl-NL"/>
              </w:rPr>
              <w:t xml:space="preserve"> </w:t>
            </w:r>
            <w:r w:rsidRPr="004E48A9">
              <w:rPr>
                <w:sz w:val="18"/>
                <w:szCs w:val="18"/>
                <w:lang w:val="nl-NL"/>
              </w:rPr>
              <w:t>voltijd, waarin wetenschappelijk onderzoek wordt toegepast op</w:t>
            </w:r>
            <w:r w:rsidR="009A50D2">
              <w:rPr>
                <w:sz w:val="18"/>
                <w:szCs w:val="18"/>
                <w:lang w:val="nl-NL"/>
              </w:rPr>
              <w:t xml:space="preserve"> </w:t>
            </w:r>
            <w:r w:rsidRPr="004E48A9">
              <w:rPr>
                <w:sz w:val="18"/>
                <w:szCs w:val="18"/>
                <w:lang w:val="nl-NL"/>
              </w:rPr>
              <w:t>vraagstukken uit de praktijk die gericht zijn op de transitie naar een</w:t>
            </w:r>
          </w:p>
          <w:p w14:paraId="2E0DD3D6" w14:textId="48D462F3" w:rsidR="00163F6B" w:rsidRPr="00040C0D" w:rsidRDefault="00090164" w:rsidP="00090164">
            <w:pPr>
              <w:rPr>
                <w:sz w:val="18"/>
                <w:szCs w:val="18"/>
                <w:lang w:val="nl-NL"/>
              </w:rPr>
            </w:pPr>
            <w:r w:rsidRPr="00040C0D">
              <w:rPr>
                <w:sz w:val="18"/>
                <w:szCs w:val="18"/>
                <w:lang w:val="nl-NL"/>
              </w:rPr>
              <w:t>circulaire economie.</w:t>
            </w:r>
          </w:p>
          <w:p w14:paraId="16E4EF94" w14:textId="77777777" w:rsidR="0000056D" w:rsidRPr="0000056D" w:rsidRDefault="0000056D" w:rsidP="00090164">
            <w:pPr>
              <w:rPr>
                <w:sz w:val="18"/>
                <w:szCs w:val="18"/>
                <w:lang w:val="nl-NL"/>
              </w:rPr>
            </w:pPr>
          </w:p>
          <w:p w14:paraId="67E499F1" w14:textId="5C171A49" w:rsidR="00696354" w:rsidRDefault="004E48A9" w:rsidP="004E48A9">
            <w:pPr>
              <w:rPr>
                <w:sz w:val="18"/>
                <w:szCs w:val="18"/>
                <w:lang w:val="nl-NL"/>
              </w:rPr>
            </w:pPr>
            <w:r w:rsidRPr="0000056D">
              <w:rPr>
                <w:sz w:val="18"/>
                <w:szCs w:val="18"/>
                <w:lang w:val="nl-NL"/>
              </w:rPr>
              <w:t>De huidige dominante economie kenmerkt zich door een lineair</w:t>
            </w:r>
            <w:r w:rsidR="009A50D2">
              <w:rPr>
                <w:sz w:val="18"/>
                <w:szCs w:val="18"/>
                <w:lang w:val="nl-NL"/>
              </w:rPr>
              <w:t xml:space="preserve"> </w:t>
            </w:r>
            <w:r w:rsidRPr="0000056D">
              <w:rPr>
                <w:sz w:val="18"/>
                <w:szCs w:val="18"/>
                <w:lang w:val="nl-NL"/>
              </w:rPr>
              <w:t>proces: uit grondstoffen producten maken, deze gebruiken en na</w:t>
            </w:r>
            <w:r w:rsidR="009A50D2">
              <w:rPr>
                <w:sz w:val="18"/>
                <w:szCs w:val="18"/>
                <w:lang w:val="nl-NL"/>
              </w:rPr>
              <w:t xml:space="preserve"> </w:t>
            </w:r>
            <w:r w:rsidRPr="0000056D">
              <w:rPr>
                <w:sz w:val="18"/>
                <w:szCs w:val="18"/>
                <w:lang w:val="nl-NL"/>
              </w:rPr>
              <w:t>gebruik weggooien (take-make-use-waste). Dit productiemodel is</w:t>
            </w:r>
            <w:r w:rsidR="009A50D2">
              <w:rPr>
                <w:sz w:val="18"/>
                <w:szCs w:val="18"/>
                <w:lang w:val="nl-NL"/>
              </w:rPr>
              <w:t xml:space="preserve"> </w:t>
            </w:r>
            <w:r w:rsidRPr="0000056D">
              <w:rPr>
                <w:sz w:val="18"/>
                <w:szCs w:val="18"/>
                <w:lang w:val="nl-NL"/>
              </w:rPr>
              <w:t>gebaseerd op een lineaire waardeketen waarbij een snellere</w:t>
            </w:r>
            <w:r w:rsidR="009A50D2">
              <w:rPr>
                <w:sz w:val="18"/>
                <w:szCs w:val="18"/>
                <w:lang w:val="nl-NL"/>
              </w:rPr>
              <w:t xml:space="preserve"> </w:t>
            </w:r>
            <w:r w:rsidRPr="0000056D">
              <w:rPr>
                <w:sz w:val="18"/>
                <w:szCs w:val="18"/>
                <w:lang w:val="nl-NL"/>
              </w:rPr>
              <w:t>doorstroming van producten economische groei betekent. Doel is</w:t>
            </w:r>
            <w:r w:rsidR="009A50D2">
              <w:rPr>
                <w:sz w:val="18"/>
                <w:szCs w:val="18"/>
                <w:lang w:val="nl-NL"/>
              </w:rPr>
              <w:t xml:space="preserve"> </w:t>
            </w:r>
            <w:r w:rsidRPr="0000056D">
              <w:rPr>
                <w:sz w:val="18"/>
                <w:szCs w:val="18"/>
                <w:lang w:val="nl-NL"/>
              </w:rPr>
              <w:t>financiële waarde creëren ten behoeve van de stakeholders en dat</w:t>
            </w:r>
            <w:r w:rsidR="009A50D2">
              <w:rPr>
                <w:sz w:val="18"/>
                <w:szCs w:val="18"/>
                <w:lang w:val="nl-NL"/>
              </w:rPr>
              <w:t xml:space="preserve"> </w:t>
            </w:r>
            <w:r w:rsidRPr="0000056D">
              <w:rPr>
                <w:sz w:val="18"/>
                <w:szCs w:val="18"/>
                <w:lang w:val="nl-NL"/>
              </w:rPr>
              <w:t>gaat vaak ten koste van grondstoffen. In een circulaire economie</w:t>
            </w:r>
            <w:r w:rsidR="009A50D2">
              <w:rPr>
                <w:sz w:val="18"/>
                <w:szCs w:val="18"/>
                <w:lang w:val="nl-NL"/>
              </w:rPr>
              <w:t xml:space="preserve"> </w:t>
            </w:r>
            <w:r w:rsidRPr="0000056D">
              <w:rPr>
                <w:sz w:val="18"/>
                <w:szCs w:val="18"/>
                <w:lang w:val="nl-NL"/>
              </w:rPr>
              <w:t>staan grondstoffen centraal en gaat het om het behoud en de groei</w:t>
            </w:r>
            <w:r w:rsidR="009A50D2">
              <w:rPr>
                <w:sz w:val="18"/>
                <w:szCs w:val="18"/>
                <w:lang w:val="nl-NL"/>
              </w:rPr>
              <w:t xml:space="preserve"> </w:t>
            </w:r>
            <w:r w:rsidRPr="0000056D">
              <w:rPr>
                <w:sz w:val="18"/>
                <w:szCs w:val="18"/>
                <w:lang w:val="nl-NL"/>
              </w:rPr>
              <w:t>van verschillende vormen van kapitaal, bijvoorbeeld sociaal,</w:t>
            </w:r>
            <w:r w:rsidR="009A50D2">
              <w:rPr>
                <w:sz w:val="18"/>
                <w:szCs w:val="18"/>
                <w:lang w:val="nl-NL"/>
              </w:rPr>
              <w:t xml:space="preserve"> </w:t>
            </w:r>
            <w:r w:rsidRPr="0000056D">
              <w:rPr>
                <w:sz w:val="18"/>
                <w:szCs w:val="18"/>
                <w:lang w:val="nl-NL"/>
              </w:rPr>
              <w:t>natuurlijk, financieel en cultureel kapitaal. Het centrale uitgangspunt</w:t>
            </w:r>
            <w:r w:rsidR="009A50D2">
              <w:rPr>
                <w:sz w:val="18"/>
                <w:szCs w:val="18"/>
                <w:lang w:val="nl-NL"/>
              </w:rPr>
              <w:t xml:space="preserve"> </w:t>
            </w:r>
            <w:r w:rsidRPr="0000056D">
              <w:rPr>
                <w:sz w:val="18"/>
                <w:szCs w:val="18"/>
                <w:lang w:val="nl-NL"/>
              </w:rPr>
              <w:t>van circulaire economie is het organiseren van kringlopen tussen</w:t>
            </w:r>
            <w:r w:rsidR="009A50D2">
              <w:rPr>
                <w:sz w:val="18"/>
                <w:szCs w:val="18"/>
                <w:lang w:val="nl-NL"/>
              </w:rPr>
              <w:t xml:space="preserve"> </w:t>
            </w:r>
            <w:r w:rsidRPr="0000056D">
              <w:rPr>
                <w:sz w:val="18"/>
                <w:szCs w:val="18"/>
                <w:lang w:val="nl-NL"/>
              </w:rPr>
              <w:t>partijen waarbij op de verschillende kapitalen waarde wordt</w:t>
            </w:r>
            <w:r w:rsidR="009A50D2">
              <w:rPr>
                <w:sz w:val="18"/>
                <w:szCs w:val="18"/>
                <w:lang w:val="nl-NL"/>
              </w:rPr>
              <w:t xml:space="preserve"> </w:t>
            </w:r>
            <w:r w:rsidRPr="0000056D">
              <w:rPr>
                <w:sz w:val="18"/>
                <w:szCs w:val="18"/>
                <w:lang w:val="nl-NL"/>
              </w:rPr>
              <w:t>gecreëerd ten behoeve van shareholders.</w:t>
            </w:r>
          </w:p>
          <w:p w14:paraId="41A9EB5A" w14:textId="77777777" w:rsidR="0000056D" w:rsidRDefault="0000056D" w:rsidP="004E48A9">
            <w:pPr>
              <w:rPr>
                <w:sz w:val="18"/>
                <w:szCs w:val="18"/>
                <w:lang w:val="nl-NL"/>
              </w:rPr>
            </w:pPr>
          </w:p>
          <w:p w14:paraId="45C99618" w14:textId="1FFDD561" w:rsidR="0000056D" w:rsidRPr="0000056D" w:rsidRDefault="0000056D" w:rsidP="0000056D">
            <w:pPr>
              <w:rPr>
                <w:sz w:val="18"/>
                <w:szCs w:val="18"/>
                <w:lang w:val="nl-NL"/>
              </w:rPr>
            </w:pPr>
            <w:r w:rsidRPr="0000056D">
              <w:rPr>
                <w:sz w:val="18"/>
                <w:szCs w:val="18"/>
                <w:lang w:val="nl-NL"/>
              </w:rPr>
              <w:t>De masteropleiding stelt zich ten doel om professionals op te leiden</w:t>
            </w:r>
            <w:r w:rsidR="009A50D2">
              <w:rPr>
                <w:sz w:val="18"/>
                <w:szCs w:val="18"/>
                <w:lang w:val="nl-NL"/>
              </w:rPr>
              <w:t xml:space="preserve"> </w:t>
            </w:r>
            <w:r w:rsidRPr="0000056D">
              <w:rPr>
                <w:sz w:val="18"/>
                <w:szCs w:val="18"/>
                <w:lang w:val="nl-NL"/>
              </w:rPr>
              <w:t>die binnen bedrijven en organisaties de transitie naar een circulaire</w:t>
            </w:r>
            <w:r w:rsidR="009A50D2">
              <w:rPr>
                <w:sz w:val="18"/>
                <w:szCs w:val="18"/>
                <w:lang w:val="nl-NL"/>
              </w:rPr>
              <w:t xml:space="preserve"> </w:t>
            </w:r>
            <w:r w:rsidRPr="0000056D">
              <w:rPr>
                <w:sz w:val="18"/>
                <w:szCs w:val="18"/>
                <w:lang w:val="nl-NL"/>
              </w:rPr>
              <w:t>bedrijfsvoering kunnen initiëren, helpen realiseren en versnellen.</w:t>
            </w:r>
          </w:p>
          <w:p w14:paraId="618FE6E4" w14:textId="77777777" w:rsidR="0000056D" w:rsidRPr="0000056D" w:rsidRDefault="0000056D" w:rsidP="0000056D">
            <w:pPr>
              <w:rPr>
                <w:sz w:val="18"/>
                <w:szCs w:val="18"/>
                <w:lang w:val="nl-NL"/>
              </w:rPr>
            </w:pPr>
            <w:r w:rsidRPr="0000056D">
              <w:rPr>
                <w:sz w:val="18"/>
                <w:szCs w:val="18"/>
                <w:lang w:val="nl-NL"/>
              </w:rPr>
              <w:t>Deze professionals werken als ‘change agents’ richting de Nieuwe</w:t>
            </w:r>
          </w:p>
          <w:p w14:paraId="16BBBDC0" w14:textId="36AAC9F5" w:rsidR="0000056D" w:rsidRDefault="0000056D" w:rsidP="0000056D">
            <w:pPr>
              <w:rPr>
                <w:sz w:val="18"/>
                <w:szCs w:val="18"/>
                <w:lang w:val="nl-NL"/>
              </w:rPr>
            </w:pPr>
            <w:r w:rsidRPr="0000056D">
              <w:rPr>
                <w:sz w:val="18"/>
                <w:szCs w:val="18"/>
                <w:lang w:val="nl-NL"/>
              </w:rPr>
              <w:t>Economie.</w:t>
            </w:r>
          </w:p>
          <w:p w14:paraId="51128821" w14:textId="77777777" w:rsidR="003F44CC" w:rsidRDefault="003F44CC" w:rsidP="0000056D">
            <w:pPr>
              <w:rPr>
                <w:sz w:val="18"/>
                <w:szCs w:val="18"/>
                <w:lang w:val="nl-NL"/>
              </w:rPr>
            </w:pPr>
          </w:p>
          <w:p w14:paraId="171B679C" w14:textId="77777777" w:rsidR="00E46195" w:rsidRDefault="00E46195" w:rsidP="0000056D">
            <w:pPr>
              <w:rPr>
                <w:sz w:val="18"/>
                <w:szCs w:val="18"/>
                <w:lang w:val="nl-NL"/>
              </w:rPr>
            </w:pPr>
          </w:p>
          <w:p w14:paraId="1A2C9CE1" w14:textId="3B6B1BEF" w:rsidR="00E46195" w:rsidRPr="0000056D" w:rsidRDefault="00E46195" w:rsidP="0000056D">
            <w:pPr>
              <w:rPr>
                <w:sz w:val="18"/>
                <w:szCs w:val="18"/>
                <w:lang w:val="nl-NL"/>
              </w:rPr>
            </w:pPr>
          </w:p>
        </w:tc>
      </w:tr>
      <w:tr w:rsidR="00696354" w:rsidRPr="00F245AA" w14:paraId="1E0E3308" w14:textId="77777777" w:rsidTr="00B20F21">
        <w:trPr>
          <w:trHeight w:hRule="exact" w:val="3695"/>
        </w:trPr>
        <w:tc>
          <w:tcPr>
            <w:tcW w:w="3064" w:type="dxa"/>
            <w:tcBorders>
              <w:top w:val="single" w:sz="4" w:space="0" w:color="231F20"/>
              <w:left w:val="single" w:sz="4" w:space="0" w:color="231F20"/>
              <w:bottom w:val="nil"/>
              <w:right w:val="single" w:sz="4" w:space="0" w:color="231F20"/>
            </w:tcBorders>
          </w:tcPr>
          <w:p w14:paraId="3FA76369" w14:textId="77777777" w:rsidR="00696354" w:rsidRPr="003139E9" w:rsidRDefault="001700CE">
            <w:pPr>
              <w:pStyle w:val="TableParagraph"/>
              <w:spacing w:line="254" w:lineRule="auto"/>
              <w:ind w:right="329"/>
              <w:rPr>
                <w:sz w:val="14"/>
                <w:lang w:val="nl-NL"/>
              </w:rPr>
            </w:pPr>
            <w:r w:rsidRPr="003139E9">
              <w:rPr>
                <w:color w:val="231F20"/>
                <w:w w:val="110"/>
                <w:sz w:val="14"/>
                <w:lang w:val="nl-NL"/>
              </w:rPr>
              <w:t>Inrichting van de opleiding (indicatie curriculum per jaar, vakken, leerlijnen)</w:t>
            </w:r>
          </w:p>
        </w:tc>
        <w:tc>
          <w:tcPr>
            <w:tcW w:w="5715" w:type="dxa"/>
            <w:tcBorders>
              <w:top w:val="single" w:sz="4" w:space="0" w:color="231F20"/>
              <w:left w:val="single" w:sz="4" w:space="0" w:color="231F20"/>
              <w:bottom w:val="nil"/>
              <w:right w:val="single" w:sz="4" w:space="0" w:color="231F20"/>
            </w:tcBorders>
          </w:tcPr>
          <w:p w14:paraId="642865EA" w14:textId="462E404F" w:rsidR="00696354" w:rsidRDefault="00F0526F" w:rsidP="00F0526F">
            <w:pPr>
              <w:rPr>
                <w:sz w:val="18"/>
                <w:szCs w:val="18"/>
                <w:lang w:val="nl-NL"/>
              </w:rPr>
            </w:pPr>
            <w:r w:rsidRPr="00F0526F">
              <w:rPr>
                <w:sz w:val="18"/>
                <w:szCs w:val="18"/>
                <w:lang w:val="nl-NL"/>
              </w:rPr>
              <w:t>Het programma van de master is onder meer gebaseerd op het model</w:t>
            </w:r>
            <w:r w:rsidR="00E34166">
              <w:rPr>
                <w:sz w:val="18"/>
                <w:szCs w:val="18"/>
                <w:lang w:val="nl-NL"/>
              </w:rPr>
              <w:t xml:space="preserve"> </w:t>
            </w:r>
            <w:r w:rsidRPr="00F0526F">
              <w:rPr>
                <w:sz w:val="18"/>
                <w:szCs w:val="18"/>
                <w:lang w:val="nl-NL"/>
              </w:rPr>
              <w:t>van meervoudige waardecreatie</w:t>
            </w:r>
            <w:r w:rsidR="00323A65">
              <w:rPr>
                <w:rStyle w:val="Voetnootmarkering"/>
                <w:sz w:val="18"/>
                <w:szCs w:val="18"/>
                <w:lang w:val="nl-NL"/>
              </w:rPr>
              <w:footnoteReference w:id="2"/>
            </w:r>
            <w:r w:rsidRPr="00F0526F">
              <w:rPr>
                <w:sz w:val="18"/>
                <w:szCs w:val="18"/>
                <w:lang w:val="nl-NL"/>
              </w:rPr>
              <w:t>, dat doorontwikkeld gaat worden</w:t>
            </w:r>
            <w:r w:rsidR="00E34166">
              <w:rPr>
                <w:sz w:val="18"/>
                <w:szCs w:val="18"/>
                <w:lang w:val="nl-NL"/>
              </w:rPr>
              <w:t xml:space="preserve"> </w:t>
            </w:r>
            <w:r w:rsidRPr="00F0526F">
              <w:rPr>
                <w:sz w:val="18"/>
                <w:szCs w:val="18"/>
                <w:lang w:val="nl-NL"/>
              </w:rPr>
              <w:t>richting een circulair bedrijfsmodel. Studenten leren bedrijven te</w:t>
            </w:r>
            <w:r w:rsidR="00E34166">
              <w:rPr>
                <w:sz w:val="18"/>
                <w:szCs w:val="18"/>
                <w:lang w:val="nl-NL"/>
              </w:rPr>
              <w:t xml:space="preserve"> </w:t>
            </w:r>
            <w:r w:rsidRPr="00F0526F">
              <w:rPr>
                <w:sz w:val="18"/>
                <w:szCs w:val="18"/>
                <w:lang w:val="nl-NL"/>
              </w:rPr>
              <w:t>analyseren op de verschillende waarden, zij moeten in staat zijn de</w:t>
            </w:r>
            <w:r w:rsidR="00E34166">
              <w:rPr>
                <w:sz w:val="18"/>
                <w:szCs w:val="18"/>
                <w:lang w:val="nl-NL"/>
              </w:rPr>
              <w:t xml:space="preserve"> </w:t>
            </w:r>
            <w:r w:rsidRPr="00F0526F">
              <w:rPr>
                <w:sz w:val="18"/>
                <w:szCs w:val="18"/>
                <w:lang w:val="nl-NL"/>
              </w:rPr>
              <w:t>balans of disbalans inzichtelijk te maken en een transitie op gang te</w:t>
            </w:r>
            <w:r w:rsidR="00E34166">
              <w:rPr>
                <w:sz w:val="18"/>
                <w:szCs w:val="18"/>
                <w:lang w:val="nl-NL"/>
              </w:rPr>
              <w:t xml:space="preserve"> </w:t>
            </w:r>
            <w:r w:rsidRPr="00F0526F">
              <w:rPr>
                <w:sz w:val="18"/>
                <w:szCs w:val="18"/>
                <w:lang w:val="nl-NL"/>
              </w:rPr>
              <w:t>brengen.</w:t>
            </w:r>
          </w:p>
          <w:p w14:paraId="7765F8ED" w14:textId="77777777" w:rsidR="00B20F21" w:rsidRDefault="00B20F21" w:rsidP="00F0526F">
            <w:pPr>
              <w:rPr>
                <w:sz w:val="18"/>
                <w:szCs w:val="18"/>
                <w:lang w:val="nl-NL"/>
              </w:rPr>
            </w:pPr>
          </w:p>
          <w:p w14:paraId="3FFD0D54" w14:textId="35C6ECDD" w:rsidR="00B20F21" w:rsidRPr="00B20F21" w:rsidRDefault="00B20F21" w:rsidP="00B20F21">
            <w:pPr>
              <w:rPr>
                <w:sz w:val="18"/>
                <w:szCs w:val="18"/>
                <w:lang w:val="nl-NL"/>
              </w:rPr>
            </w:pPr>
            <w:r w:rsidRPr="00B20F21">
              <w:rPr>
                <w:sz w:val="18"/>
                <w:szCs w:val="18"/>
                <w:lang w:val="nl-NL"/>
              </w:rPr>
              <w:t>De opleiding is een doorstroommaster van 60 ec en heeft een</w:t>
            </w:r>
            <w:r>
              <w:rPr>
                <w:sz w:val="18"/>
                <w:szCs w:val="18"/>
                <w:lang w:val="nl-NL"/>
              </w:rPr>
              <w:t xml:space="preserve"> </w:t>
            </w:r>
            <w:r w:rsidRPr="00B20F21">
              <w:rPr>
                <w:sz w:val="18"/>
                <w:szCs w:val="18"/>
                <w:lang w:val="nl-NL"/>
              </w:rPr>
              <w:t>doorlooptijd van 1 studiejaar.</w:t>
            </w:r>
          </w:p>
          <w:p w14:paraId="3FF27020" w14:textId="1D9F9F2B" w:rsidR="00E4081E" w:rsidRDefault="00B20F21" w:rsidP="00B20F21">
            <w:pPr>
              <w:rPr>
                <w:sz w:val="18"/>
                <w:szCs w:val="18"/>
                <w:lang w:val="nl-NL"/>
              </w:rPr>
            </w:pPr>
            <w:r w:rsidRPr="00B20F21">
              <w:rPr>
                <w:sz w:val="18"/>
                <w:szCs w:val="18"/>
                <w:lang w:val="nl-NL"/>
              </w:rPr>
              <w:t>Het curriculum van de master is opgebouwd uit drie componenten die</w:t>
            </w:r>
            <w:r>
              <w:rPr>
                <w:sz w:val="18"/>
                <w:szCs w:val="18"/>
                <w:lang w:val="nl-NL"/>
              </w:rPr>
              <w:t xml:space="preserve"> </w:t>
            </w:r>
            <w:r w:rsidRPr="00B20F21">
              <w:rPr>
                <w:sz w:val="18"/>
                <w:szCs w:val="18"/>
                <w:lang w:val="nl-NL"/>
              </w:rPr>
              <w:t>geïntegreerd in het programma zijn opgenomen: praktijk,</w:t>
            </w:r>
            <w:r>
              <w:rPr>
                <w:sz w:val="18"/>
                <w:szCs w:val="18"/>
                <w:lang w:val="nl-NL"/>
              </w:rPr>
              <w:t xml:space="preserve"> </w:t>
            </w:r>
            <w:r w:rsidRPr="00B20F21">
              <w:rPr>
                <w:sz w:val="18"/>
                <w:szCs w:val="18"/>
                <w:lang w:val="nl-NL"/>
              </w:rPr>
              <w:t>vaardigheden en theorie.</w:t>
            </w:r>
          </w:p>
          <w:p w14:paraId="0FA9FB5B" w14:textId="071C9785" w:rsidR="009247B8" w:rsidRDefault="009247B8" w:rsidP="00B20F21">
            <w:pPr>
              <w:rPr>
                <w:sz w:val="18"/>
                <w:szCs w:val="18"/>
                <w:lang w:val="nl-NL"/>
              </w:rPr>
            </w:pPr>
          </w:p>
          <w:p w14:paraId="6EED8B67" w14:textId="7B205425" w:rsidR="009247B8" w:rsidRDefault="009247B8" w:rsidP="00B20F21">
            <w:pPr>
              <w:rPr>
                <w:sz w:val="18"/>
                <w:szCs w:val="18"/>
                <w:lang w:val="nl-NL"/>
              </w:rPr>
            </w:pPr>
            <w:r>
              <w:rPr>
                <w:sz w:val="18"/>
                <w:szCs w:val="18"/>
                <w:lang w:val="nl-NL"/>
              </w:rPr>
              <w:t>De opleiding is volledig Nederlandstalig. Wel ambieert CE om in de nieuwe vestigingsplaats een Engelse variant te starten.</w:t>
            </w:r>
          </w:p>
          <w:p w14:paraId="139D8BF0" w14:textId="2B49F3AC" w:rsidR="004277E7" w:rsidRPr="00E32D2E" w:rsidRDefault="004277E7">
            <w:pPr>
              <w:rPr>
                <w:sz w:val="18"/>
                <w:szCs w:val="18"/>
                <w:lang w:val="nl-NL"/>
              </w:rPr>
            </w:pPr>
          </w:p>
        </w:tc>
      </w:tr>
      <w:tr w:rsidR="00761F49" w:rsidRPr="00F245AA" w14:paraId="5B39CA39" w14:textId="77777777" w:rsidTr="0013585C">
        <w:trPr>
          <w:trHeight w:hRule="exact" w:val="13892"/>
        </w:trPr>
        <w:tc>
          <w:tcPr>
            <w:tcW w:w="3064" w:type="dxa"/>
            <w:tcBorders>
              <w:top w:val="nil"/>
              <w:bottom w:val="nil"/>
            </w:tcBorders>
          </w:tcPr>
          <w:p w14:paraId="5429F2F1" w14:textId="77777777" w:rsidR="00761F49" w:rsidRPr="00597679" w:rsidRDefault="00761F49">
            <w:pPr>
              <w:pStyle w:val="TableParagraph"/>
              <w:spacing w:before="81"/>
              <w:rPr>
                <w:color w:val="231F20"/>
                <w:w w:val="110"/>
                <w:sz w:val="14"/>
                <w:lang w:val="nl-NL"/>
              </w:rPr>
            </w:pPr>
          </w:p>
        </w:tc>
        <w:tc>
          <w:tcPr>
            <w:tcW w:w="5715" w:type="dxa"/>
            <w:tcBorders>
              <w:top w:val="nil"/>
              <w:bottom w:val="nil"/>
            </w:tcBorders>
          </w:tcPr>
          <w:p w14:paraId="474C6CFF" w14:textId="47F21BDE" w:rsidR="00761F49" w:rsidRDefault="00C67E99">
            <w:r>
              <w:object w:dxaOrig="5664" w:dyaOrig="3816" w14:anchorId="6393E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5pt;height:166.5pt" o:ole="">
                  <v:imagedata r:id="rId10" o:title=""/>
                </v:shape>
                <o:OLEObject Type="Embed" ProgID="PBrush" ShapeID="_x0000_i1025" DrawAspect="Content" ObjectID="_1733293920" r:id="rId11"/>
              </w:object>
            </w:r>
          </w:p>
          <w:p w14:paraId="2F9DB100" w14:textId="766C9CED" w:rsidR="00811509" w:rsidRDefault="00811509" w:rsidP="00811509">
            <w:pPr>
              <w:rPr>
                <w:sz w:val="18"/>
                <w:szCs w:val="18"/>
                <w:lang w:val="nl-NL"/>
              </w:rPr>
            </w:pPr>
            <w:r w:rsidRPr="00811509">
              <w:rPr>
                <w:sz w:val="18"/>
                <w:szCs w:val="18"/>
                <w:lang w:val="nl-NL"/>
              </w:rPr>
              <w:t>Theoretische lijn: in aansluiting op de visie van het kennis- en</w:t>
            </w:r>
            <w:r>
              <w:rPr>
                <w:sz w:val="18"/>
                <w:szCs w:val="18"/>
                <w:lang w:val="nl-NL"/>
              </w:rPr>
              <w:t xml:space="preserve"> </w:t>
            </w:r>
            <w:r w:rsidRPr="00811509">
              <w:rPr>
                <w:sz w:val="18"/>
                <w:szCs w:val="18"/>
                <w:lang w:val="nl-NL"/>
              </w:rPr>
              <w:t>expertisecentrum CEBB gebruikt de master het model van</w:t>
            </w:r>
            <w:r>
              <w:rPr>
                <w:sz w:val="18"/>
                <w:szCs w:val="18"/>
                <w:lang w:val="nl-NL"/>
              </w:rPr>
              <w:t xml:space="preserve"> </w:t>
            </w:r>
            <w:r w:rsidRPr="00811509">
              <w:rPr>
                <w:sz w:val="18"/>
                <w:szCs w:val="18"/>
                <w:lang w:val="nl-NL"/>
              </w:rPr>
              <w:t>meervoudige waardecreatie als theoretische kapstok voor het</w:t>
            </w:r>
            <w:r>
              <w:rPr>
                <w:sz w:val="18"/>
                <w:szCs w:val="18"/>
                <w:lang w:val="nl-NL"/>
              </w:rPr>
              <w:t xml:space="preserve"> </w:t>
            </w:r>
            <w:r w:rsidRPr="00811509">
              <w:rPr>
                <w:sz w:val="18"/>
                <w:szCs w:val="18"/>
                <w:lang w:val="nl-NL"/>
              </w:rPr>
              <w:t>programma.</w:t>
            </w:r>
          </w:p>
          <w:p w14:paraId="3FCD3120" w14:textId="77777777" w:rsidR="00811509" w:rsidRPr="00811509" w:rsidRDefault="00811509" w:rsidP="00811509">
            <w:pPr>
              <w:rPr>
                <w:sz w:val="18"/>
                <w:szCs w:val="18"/>
                <w:lang w:val="nl-NL"/>
              </w:rPr>
            </w:pPr>
          </w:p>
          <w:p w14:paraId="527D8E90" w14:textId="05F08009" w:rsidR="00C67E99" w:rsidRPr="00811509" w:rsidRDefault="00811509" w:rsidP="00811509">
            <w:pPr>
              <w:rPr>
                <w:sz w:val="18"/>
                <w:szCs w:val="18"/>
                <w:lang w:val="nl-NL"/>
              </w:rPr>
            </w:pPr>
            <w:r w:rsidRPr="00811509">
              <w:rPr>
                <w:sz w:val="18"/>
                <w:szCs w:val="18"/>
                <w:lang w:val="nl-NL"/>
              </w:rPr>
              <w:t>De integrale, holistische benadering is uitgangspunt voor de</w:t>
            </w:r>
            <w:r>
              <w:rPr>
                <w:sz w:val="18"/>
                <w:szCs w:val="18"/>
                <w:lang w:val="nl-NL"/>
              </w:rPr>
              <w:t xml:space="preserve"> </w:t>
            </w:r>
            <w:r w:rsidRPr="00811509">
              <w:rPr>
                <w:sz w:val="18"/>
                <w:szCs w:val="18"/>
                <w:lang w:val="nl-NL"/>
              </w:rPr>
              <w:t>verdieping op de zes waarden. Met het oog op de transitie naar</w:t>
            </w:r>
            <w:r>
              <w:rPr>
                <w:sz w:val="18"/>
                <w:szCs w:val="18"/>
                <w:lang w:val="nl-NL"/>
              </w:rPr>
              <w:t xml:space="preserve"> </w:t>
            </w:r>
            <w:r w:rsidRPr="00811509">
              <w:rPr>
                <w:sz w:val="18"/>
                <w:szCs w:val="18"/>
                <w:lang w:val="nl-NL"/>
              </w:rPr>
              <w:t>circulaire economie komen ethische dilemma’s, smart business en</w:t>
            </w:r>
            <w:r>
              <w:rPr>
                <w:sz w:val="18"/>
                <w:szCs w:val="18"/>
                <w:lang w:val="nl-NL"/>
              </w:rPr>
              <w:t xml:space="preserve"> </w:t>
            </w:r>
            <w:r w:rsidRPr="00811509">
              <w:rPr>
                <w:sz w:val="18"/>
                <w:szCs w:val="18"/>
                <w:lang w:val="nl-NL"/>
              </w:rPr>
              <w:t>veranderkunde in deze lijn expliciet aan de orde.</w:t>
            </w:r>
            <w:r w:rsidRPr="00811509">
              <w:rPr>
                <w:sz w:val="18"/>
                <w:szCs w:val="18"/>
                <w:lang w:val="nl-NL"/>
              </w:rPr>
              <w:cr/>
            </w:r>
          </w:p>
          <w:p w14:paraId="5D7272FF" w14:textId="3113376C" w:rsidR="00C21B7E" w:rsidRDefault="00C21B7E" w:rsidP="00C21B7E">
            <w:pPr>
              <w:rPr>
                <w:sz w:val="18"/>
                <w:szCs w:val="18"/>
                <w:lang w:val="nl-NL"/>
              </w:rPr>
            </w:pPr>
            <w:r w:rsidRPr="00C21B7E">
              <w:rPr>
                <w:sz w:val="18"/>
                <w:szCs w:val="18"/>
                <w:lang w:val="nl-NL"/>
              </w:rPr>
              <w:t>In de praktijklijn doen studenten in interdisciplinaire duo’s of trio’s</w:t>
            </w:r>
            <w:r>
              <w:rPr>
                <w:sz w:val="18"/>
                <w:szCs w:val="18"/>
                <w:lang w:val="nl-NL"/>
              </w:rPr>
              <w:t xml:space="preserve"> </w:t>
            </w:r>
            <w:r w:rsidRPr="00C21B7E">
              <w:rPr>
                <w:sz w:val="18"/>
                <w:szCs w:val="18"/>
                <w:lang w:val="nl-NL"/>
              </w:rPr>
              <w:t>wetenschappelijk onderzoek toegepast op vraagstukken van</w:t>
            </w:r>
            <w:r>
              <w:rPr>
                <w:sz w:val="18"/>
                <w:szCs w:val="18"/>
                <w:lang w:val="nl-NL"/>
              </w:rPr>
              <w:t xml:space="preserve"> </w:t>
            </w:r>
            <w:r w:rsidRPr="00C21B7E">
              <w:rPr>
                <w:sz w:val="18"/>
                <w:szCs w:val="18"/>
                <w:lang w:val="nl-NL"/>
              </w:rPr>
              <w:t>bedrijven. Gedurende het eerste semester analyseren studenten een</w:t>
            </w:r>
            <w:r>
              <w:rPr>
                <w:sz w:val="18"/>
                <w:szCs w:val="18"/>
                <w:lang w:val="nl-NL"/>
              </w:rPr>
              <w:t xml:space="preserve"> </w:t>
            </w:r>
            <w:r w:rsidRPr="00C21B7E">
              <w:rPr>
                <w:sz w:val="18"/>
                <w:szCs w:val="18"/>
                <w:lang w:val="nl-NL"/>
              </w:rPr>
              <w:t>bedrijf op de verschillende waarden. In het tweede semester staat het</w:t>
            </w:r>
            <w:r>
              <w:rPr>
                <w:sz w:val="18"/>
                <w:szCs w:val="18"/>
                <w:lang w:val="nl-NL"/>
              </w:rPr>
              <w:t xml:space="preserve"> </w:t>
            </w:r>
            <w:r w:rsidRPr="00C21B7E">
              <w:rPr>
                <w:sz w:val="18"/>
                <w:szCs w:val="18"/>
                <w:lang w:val="nl-NL"/>
              </w:rPr>
              <w:t>ontwerp en de implementatie van een transitie centraal. Studenten</w:t>
            </w:r>
            <w:r>
              <w:rPr>
                <w:sz w:val="18"/>
                <w:szCs w:val="18"/>
                <w:lang w:val="nl-NL"/>
              </w:rPr>
              <w:t xml:space="preserve"> </w:t>
            </w:r>
            <w:r w:rsidRPr="00C21B7E">
              <w:rPr>
                <w:sz w:val="18"/>
                <w:szCs w:val="18"/>
                <w:lang w:val="nl-NL"/>
              </w:rPr>
              <w:t>werken in living labs op locatie. Zij leren van elkaar en delen hun</w:t>
            </w:r>
            <w:r>
              <w:rPr>
                <w:sz w:val="18"/>
                <w:szCs w:val="18"/>
                <w:lang w:val="nl-NL"/>
              </w:rPr>
              <w:t xml:space="preserve"> </w:t>
            </w:r>
            <w:r w:rsidRPr="00C21B7E">
              <w:rPr>
                <w:sz w:val="18"/>
                <w:szCs w:val="18"/>
                <w:lang w:val="nl-NL"/>
              </w:rPr>
              <w:t>ervaringen in coaching en intervisiebijeenkomsten.</w:t>
            </w:r>
          </w:p>
          <w:p w14:paraId="2CCB37D5" w14:textId="77777777" w:rsidR="00C21B7E" w:rsidRPr="00C21B7E" w:rsidRDefault="00C21B7E" w:rsidP="00C21B7E">
            <w:pPr>
              <w:rPr>
                <w:sz w:val="18"/>
                <w:szCs w:val="18"/>
                <w:lang w:val="nl-NL"/>
              </w:rPr>
            </w:pPr>
          </w:p>
          <w:p w14:paraId="4C0F0A03" w14:textId="6BC64941" w:rsidR="00C21B7E" w:rsidRPr="00C21B7E" w:rsidRDefault="00C21B7E" w:rsidP="00C21B7E">
            <w:pPr>
              <w:rPr>
                <w:sz w:val="18"/>
                <w:szCs w:val="18"/>
                <w:lang w:val="nl-NL"/>
              </w:rPr>
            </w:pPr>
            <w:r w:rsidRPr="00C21B7E">
              <w:rPr>
                <w:sz w:val="18"/>
                <w:szCs w:val="18"/>
                <w:lang w:val="nl-NL"/>
              </w:rPr>
              <w:t>Een extra verbinding tussen de theorie en praktijklijn krijgt vorm in</w:t>
            </w:r>
            <w:r>
              <w:rPr>
                <w:sz w:val="18"/>
                <w:szCs w:val="18"/>
                <w:lang w:val="nl-NL"/>
              </w:rPr>
              <w:t xml:space="preserve"> </w:t>
            </w:r>
            <w:r w:rsidRPr="00C21B7E">
              <w:rPr>
                <w:sz w:val="18"/>
                <w:szCs w:val="18"/>
                <w:lang w:val="nl-NL"/>
              </w:rPr>
              <w:t>seminars waarin kennisdeling en ontwikkeling centraal staat. De</w:t>
            </w:r>
            <w:r>
              <w:rPr>
                <w:sz w:val="18"/>
                <w:szCs w:val="18"/>
                <w:lang w:val="nl-NL"/>
              </w:rPr>
              <w:t xml:space="preserve"> </w:t>
            </w:r>
            <w:r w:rsidRPr="00C21B7E">
              <w:rPr>
                <w:sz w:val="18"/>
                <w:szCs w:val="18"/>
                <w:lang w:val="nl-NL"/>
              </w:rPr>
              <w:t>studenten geven samen met docenten en bedrijven invulling aan de</w:t>
            </w:r>
            <w:r>
              <w:rPr>
                <w:sz w:val="18"/>
                <w:szCs w:val="18"/>
                <w:lang w:val="nl-NL"/>
              </w:rPr>
              <w:t xml:space="preserve"> </w:t>
            </w:r>
            <w:r w:rsidRPr="00C21B7E">
              <w:rPr>
                <w:sz w:val="18"/>
                <w:szCs w:val="18"/>
                <w:lang w:val="nl-NL"/>
              </w:rPr>
              <w:t>seminars die aansluiten bij de vraagstukken van de bedrijven.</w:t>
            </w:r>
          </w:p>
          <w:p w14:paraId="6FCC30F6" w14:textId="77777777" w:rsidR="00B20F21" w:rsidRDefault="00C21B7E" w:rsidP="00C21B7E">
            <w:pPr>
              <w:rPr>
                <w:sz w:val="18"/>
                <w:szCs w:val="18"/>
                <w:lang w:val="nl-NL"/>
              </w:rPr>
            </w:pPr>
            <w:r w:rsidRPr="00C21B7E">
              <w:rPr>
                <w:sz w:val="18"/>
                <w:szCs w:val="18"/>
                <w:lang w:val="nl-NL"/>
              </w:rPr>
              <w:t>Gastsprekers leveren een bijdrage tijdens de seminars. Daarnaast</w:t>
            </w:r>
            <w:r>
              <w:rPr>
                <w:sz w:val="18"/>
                <w:szCs w:val="18"/>
                <w:lang w:val="nl-NL"/>
              </w:rPr>
              <w:t xml:space="preserve"> </w:t>
            </w:r>
            <w:r w:rsidRPr="00C21B7E">
              <w:rPr>
                <w:sz w:val="18"/>
                <w:szCs w:val="18"/>
                <w:lang w:val="nl-NL"/>
              </w:rPr>
              <w:t>bezoeken studenten events en bijeenkomsten gerelateerd aan CE en</w:t>
            </w:r>
            <w:r>
              <w:rPr>
                <w:sz w:val="18"/>
                <w:szCs w:val="18"/>
                <w:lang w:val="nl-NL"/>
              </w:rPr>
              <w:t xml:space="preserve"> </w:t>
            </w:r>
            <w:r w:rsidRPr="00C21B7E">
              <w:rPr>
                <w:sz w:val="18"/>
                <w:szCs w:val="18"/>
                <w:lang w:val="nl-NL"/>
              </w:rPr>
              <w:t>delen hun ervaringen en bevindingen in de seminars. Op deze manier</w:t>
            </w:r>
            <w:r>
              <w:rPr>
                <w:sz w:val="18"/>
                <w:szCs w:val="18"/>
                <w:lang w:val="nl-NL"/>
              </w:rPr>
              <w:t xml:space="preserve"> </w:t>
            </w:r>
            <w:r w:rsidRPr="00C21B7E">
              <w:rPr>
                <w:sz w:val="18"/>
                <w:szCs w:val="18"/>
                <w:lang w:val="nl-NL"/>
              </w:rPr>
              <w:t>is het programma flexibel en sluit het direct aan op de behoeften van</w:t>
            </w:r>
            <w:r>
              <w:rPr>
                <w:sz w:val="18"/>
                <w:szCs w:val="18"/>
                <w:lang w:val="nl-NL"/>
              </w:rPr>
              <w:t xml:space="preserve"> </w:t>
            </w:r>
            <w:r w:rsidRPr="00C21B7E">
              <w:rPr>
                <w:sz w:val="18"/>
                <w:szCs w:val="18"/>
                <w:lang w:val="nl-NL"/>
              </w:rPr>
              <w:t>studenten en opdrachtgevers.</w:t>
            </w:r>
          </w:p>
          <w:p w14:paraId="3959D12A" w14:textId="77777777" w:rsidR="007F78FB" w:rsidRDefault="007F78FB" w:rsidP="00C21B7E">
            <w:pPr>
              <w:rPr>
                <w:sz w:val="18"/>
                <w:szCs w:val="18"/>
                <w:lang w:val="nl-NL"/>
              </w:rPr>
            </w:pPr>
          </w:p>
          <w:p w14:paraId="002F39F0" w14:textId="77777777" w:rsidR="0025343E" w:rsidRDefault="007F78FB" w:rsidP="00E72C11">
            <w:pPr>
              <w:rPr>
                <w:sz w:val="18"/>
                <w:szCs w:val="18"/>
                <w:lang w:val="nl-NL"/>
              </w:rPr>
            </w:pPr>
            <w:r w:rsidRPr="007F78FB">
              <w:rPr>
                <w:sz w:val="18"/>
                <w:szCs w:val="18"/>
                <w:lang w:val="nl-NL"/>
              </w:rPr>
              <w:t>De derde lijn in het programma is de vaardighedenlijn: in skills labs</w:t>
            </w:r>
            <w:r w:rsidR="00E72C11">
              <w:rPr>
                <w:sz w:val="18"/>
                <w:szCs w:val="18"/>
                <w:lang w:val="nl-NL"/>
              </w:rPr>
              <w:t xml:space="preserve"> </w:t>
            </w:r>
            <w:r w:rsidRPr="007F78FB">
              <w:rPr>
                <w:sz w:val="18"/>
                <w:szCs w:val="18"/>
                <w:lang w:val="nl-NL"/>
              </w:rPr>
              <w:t>ontwikkelen studenten professionele vaardigheden. Hierbij gaat het</w:t>
            </w:r>
            <w:r w:rsidR="00E72C11">
              <w:rPr>
                <w:sz w:val="18"/>
                <w:szCs w:val="18"/>
                <w:lang w:val="nl-NL"/>
              </w:rPr>
              <w:t xml:space="preserve"> </w:t>
            </w:r>
            <w:r w:rsidRPr="007F78FB">
              <w:rPr>
                <w:sz w:val="18"/>
                <w:szCs w:val="18"/>
                <w:lang w:val="nl-NL"/>
              </w:rPr>
              <w:t>om vaardigheden gericht op de ontwikkeling tot T-shaped</w:t>
            </w:r>
            <w:r w:rsidR="00E72C11">
              <w:rPr>
                <w:sz w:val="18"/>
                <w:szCs w:val="18"/>
                <w:lang w:val="nl-NL"/>
              </w:rPr>
              <w:t xml:space="preserve"> </w:t>
            </w:r>
            <w:r w:rsidRPr="007F78FB">
              <w:rPr>
                <w:sz w:val="18"/>
                <w:szCs w:val="18"/>
                <w:lang w:val="nl-NL"/>
              </w:rPr>
              <w:t>professionals en ‘change agents’. Denk aan ondernemen, persoonlijk</w:t>
            </w:r>
            <w:r w:rsidR="00E72C11">
              <w:rPr>
                <w:sz w:val="18"/>
                <w:szCs w:val="18"/>
                <w:lang w:val="nl-NL"/>
              </w:rPr>
              <w:t xml:space="preserve"> </w:t>
            </w:r>
            <w:r w:rsidRPr="007F78FB">
              <w:rPr>
                <w:sz w:val="18"/>
                <w:szCs w:val="18"/>
                <w:lang w:val="nl-NL"/>
              </w:rPr>
              <w:t>leiderschap en ethisch handelen. Ook de 21e -eeuwse vaardigheden</w:t>
            </w:r>
            <w:r w:rsidR="00E72C11">
              <w:rPr>
                <w:sz w:val="18"/>
                <w:szCs w:val="18"/>
                <w:lang w:val="nl-NL"/>
              </w:rPr>
              <w:t xml:space="preserve"> </w:t>
            </w:r>
            <w:r w:rsidRPr="007F78FB">
              <w:rPr>
                <w:sz w:val="18"/>
                <w:szCs w:val="18"/>
                <w:lang w:val="nl-NL"/>
              </w:rPr>
              <w:t>komen aan bod.</w:t>
            </w:r>
          </w:p>
          <w:p w14:paraId="3F0AA4FE" w14:textId="77777777" w:rsidR="0025343E" w:rsidRDefault="0025343E" w:rsidP="00E72C11">
            <w:pPr>
              <w:rPr>
                <w:sz w:val="18"/>
                <w:szCs w:val="18"/>
                <w:lang w:val="nl-NL"/>
              </w:rPr>
            </w:pPr>
          </w:p>
          <w:p w14:paraId="668FE7AA" w14:textId="77777777" w:rsidR="0025343E" w:rsidRDefault="0025343E" w:rsidP="0025343E">
            <w:pPr>
              <w:rPr>
                <w:sz w:val="18"/>
                <w:szCs w:val="18"/>
                <w:lang w:val="nl-NL"/>
              </w:rPr>
            </w:pPr>
            <w:r w:rsidRPr="0025343E">
              <w:rPr>
                <w:sz w:val="18"/>
                <w:szCs w:val="18"/>
                <w:lang w:val="nl-NL"/>
              </w:rPr>
              <w:t>Academische vaardigheden zijn een belangrijk onderdeel van de</w:t>
            </w:r>
            <w:r>
              <w:rPr>
                <w:sz w:val="18"/>
                <w:szCs w:val="18"/>
                <w:lang w:val="nl-NL"/>
              </w:rPr>
              <w:t xml:space="preserve"> </w:t>
            </w:r>
            <w:r w:rsidRPr="0025343E">
              <w:rPr>
                <w:sz w:val="18"/>
                <w:szCs w:val="18"/>
                <w:lang w:val="nl-NL"/>
              </w:rPr>
              <w:t>vaardighedenlijn. In de master CE worden professionals opgeleid die</w:t>
            </w:r>
            <w:r>
              <w:rPr>
                <w:sz w:val="18"/>
                <w:szCs w:val="18"/>
                <w:lang w:val="nl-NL"/>
              </w:rPr>
              <w:t xml:space="preserve"> </w:t>
            </w:r>
            <w:r w:rsidRPr="0025343E">
              <w:rPr>
                <w:sz w:val="18"/>
                <w:szCs w:val="18"/>
                <w:lang w:val="nl-NL"/>
              </w:rPr>
              <w:t>complexe vraagstukken kunnen onderzoeken en</w:t>
            </w:r>
            <w:r>
              <w:rPr>
                <w:sz w:val="18"/>
                <w:szCs w:val="18"/>
                <w:lang w:val="nl-NL"/>
              </w:rPr>
              <w:t xml:space="preserve"> </w:t>
            </w:r>
            <w:r w:rsidRPr="0025343E">
              <w:rPr>
                <w:sz w:val="18"/>
                <w:szCs w:val="18"/>
                <w:lang w:val="nl-NL"/>
              </w:rPr>
              <w:t>onderzoeksresultaten kunnen vertalen in interventies.</w:t>
            </w:r>
          </w:p>
          <w:p w14:paraId="4A3353DA" w14:textId="77777777" w:rsidR="00040797" w:rsidRDefault="00040797" w:rsidP="0025343E">
            <w:pPr>
              <w:rPr>
                <w:sz w:val="18"/>
                <w:szCs w:val="18"/>
                <w:lang w:val="nl-NL"/>
              </w:rPr>
            </w:pPr>
          </w:p>
          <w:p w14:paraId="09D361B0" w14:textId="77777777" w:rsidR="00040797" w:rsidRDefault="00040797" w:rsidP="00040797">
            <w:pPr>
              <w:rPr>
                <w:sz w:val="18"/>
                <w:szCs w:val="18"/>
                <w:lang w:val="nl-NL"/>
              </w:rPr>
            </w:pPr>
            <w:r w:rsidRPr="00040797">
              <w:rPr>
                <w:sz w:val="18"/>
                <w:szCs w:val="18"/>
                <w:lang w:val="nl-NL"/>
              </w:rPr>
              <w:t>Studenten leren wetenschappelijk onderzoek instrumenteel in te</w:t>
            </w:r>
            <w:r>
              <w:rPr>
                <w:sz w:val="18"/>
                <w:szCs w:val="18"/>
                <w:lang w:val="nl-NL"/>
              </w:rPr>
              <w:t xml:space="preserve"> </w:t>
            </w:r>
            <w:r w:rsidRPr="00040797">
              <w:rPr>
                <w:sz w:val="18"/>
                <w:szCs w:val="18"/>
                <w:lang w:val="nl-NL"/>
              </w:rPr>
              <w:t>zetten en toe te passen op de praktijk. De focus ligt op participatief</w:t>
            </w:r>
            <w:r>
              <w:rPr>
                <w:sz w:val="18"/>
                <w:szCs w:val="18"/>
                <w:lang w:val="nl-NL"/>
              </w:rPr>
              <w:t xml:space="preserve"> </w:t>
            </w:r>
            <w:r w:rsidRPr="00040797">
              <w:rPr>
                <w:sz w:val="18"/>
                <w:szCs w:val="18"/>
                <w:lang w:val="nl-NL"/>
              </w:rPr>
              <w:t>actieonderzoek en design thinking met het oog op de transitie die</w:t>
            </w:r>
            <w:r>
              <w:rPr>
                <w:sz w:val="18"/>
                <w:szCs w:val="18"/>
                <w:lang w:val="nl-NL"/>
              </w:rPr>
              <w:t xml:space="preserve"> </w:t>
            </w:r>
            <w:r w:rsidRPr="00040797">
              <w:rPr>
                <w:sz w:val="18"/>
                <w:szCs w:val="18"/>
                <w:lang w:val="nl-NL"/>
              </w:rPr>
              <w:t>bedrijven doormaken richting circulaire bedrijfsvoering. Doordat de</w:t>
            </w:r>
            <w:r>
              <w:rPr>
                <w:sz w:val="18"/>
                <w:szCs w:val="18"/>
                <w:lang w:val="nl-NL"/>
              </w:rPr>
              <w:t xml:space="preserve"> </w:t>
            </w:r>
            <w:r w:rsidRPr="00040797">
              <w:rPr>
                <w:sz w:val="18"/>
                <w:szCs w:val="18"/>
                <w:lang w:val="nl-NL"/>
              </w:rPr>
              <w:t>studenten deze onderzoeksmethoden (leren) gebruiken bij de</w:t>
            </w:r>
            <w:r>
              <w:rPr>
                <w:sz w:val="18"/>
                <w:szCs w:val="18"/>
                <w:lang w:val="nl-NL"/>
              </w:rPr>
              <w:t xml:space="preserve"> </w:t>
            </w:r>
            <w:r w:rsidRPr="00040797">
              <w:rPr>
                <w:sz w:val="18"/>
                <w:szCs w:val="18"/>
                <w:lang w:val="nl-NL"/>
              </w:rPr>
              <w:t>praktijkopdrachten, worden zij opgeleid tot professionals die</w:t>
            </w:r>
            <w:r>
              <w:rPr>
                <w:sz w:val="18"/>
                <w:szCs w:val="18"/>
                <w:lang w:val="nl-NL"/>
              </w:rPr>
              <w:t xml:space="preserve"> </w:t>
            </w:r>
            <w:r w:rsidRPr="00040797">
              <w:rPr>
                <w:sz w:val="18"/>
                <w:szCs w:val="18"/>
                <w:lang w:val="nl-NL"/>
              </w:rPr>
              <w:t>evidence-based kunnen werken, en in co-creatie met het werkveld.</w:t>
            </w:r>
            <w:r>
              <w:rPr>
                <w:sz w:val="18"/>
                <w:szCs w:val="18"/>
                <w:lang w:val="nl-NL"/>
              </w:rPr>
              <w:t xml:space="preserve"> </w:t>
            </w:r>
            <w:r w:rsidRPr="00040797">
              <w:rPr>
                <w:sz w:val="18"/>
                <w:szCs w:val="18"/>
                <w:lang w:val="nl-NL"/>
              </w:rPr>
              <w:t>Daarbij is aandacht voor denk-, lees- en schrijfvaardigheden in het</w:t>
            </w:r>
            <w:r>
              <w:rPr>
                <w:sz w:val="18"/>
                <w:szCs w:val="18"/>
                <w:lang w:val="nl-NL"/>
              </w:rPr>
              <w:t xml:space="preserve"> </w:t>
            </w:r>
            <w:r w:rsidRPr="00040797">
              <w:rPr>
                <w:sz w:val="18"/>
                <w:szCs w:val="18"/>
                <w:lang w:val="nl-NL"/>
              </w:rPr>
              <w:t>kader van onderzoek (o.a. analytisch denken, argumenteren en</w:t>
            </w:r>
            <w:r>
              <w:rPr>
                <w:sz w:val="18"/>
                <w:szCs w:val="18"/>
                <w:lang w:val="nl-NL"/>
              </w:rPr>
              <w:t xml:space="preserve"> </w:t>
            </w:r>
            <w:r w:rsidRPr="00040797">
              <w:rPr>
                <w:sz w:val="18"/>
                <w:szCs w:val="18"/>
                <w:lang w:val="nl-NL"/>
              </w:rPr>
              <w:t>redeneren).</w:t>
            </w:r>
          </w:p>
          <w:p w14:paraId="67C65A6C" w14:textId="77777777" w:rsidR="0013585C" w:rsidRDefault="0013585C" w:rsidP="00040797">
            <w:pPr>
              <w:rPr>
                <w:sz w:val="18"/>
                <w:szCs w:val="18"/>
                <w:lang w:val="nl-NL"/>
              </w:rPr>
            </w:pPr>
          </w:p>
          <w:p w14:paraId="3FE7C488" w14:textId="77777777" w:rsidR="0013585C" w:rsidRPr="0013585C" w:rsidRDefault="0013585C" w:rsidP="0013585C">
            <w:pPr>
              <w:rPr>
                <w:sz w:val="18"/>
                <w:szCs w:val="18"/>
                <w:lang w:val="nl-NL"/>
              </w:rPr>
            </w:pPr>
            <w:r w:rsidRPr="0013585C">
              <w:rPr>
                <w:sz w:val="18"/>
                <w:szCs w:val="18"/>
                <w:lang w:val="nl-NL"/>
              </w:rPr>
              <w:t>Het assessment is in de vorm van een portfolio. Dit biedt ruimte aan</w:t>
            </w:r>
          </w:p>
          <w:p w14:paraId="6859E1D6" w14:textId="52E7A5E0" w:rsidR="0013585C" w:rsidRPr="0013585C" w:rsidRDefault="0013585C" w:rsidP="0013585C">
            <w:pPr>
              <w:rPr>
                <w:sz w:val="18"/>
                <w:szCs w:val="18"/>
                <w:lang w:val="nl-NL"/>
              </w:rPr>
            </w:pPr>
            <w:r w:rsidRPr="0013585C">
              <w:rPr>
                <w:sz w:val="18"/>
                <w:szCs w:val="18"/>
                <w:lang w:val="nl-NL"/>
              </w:rPr>
              <w:t>het toetsen van verschillende competenties in de vorm van een</w:t>
            </w:r>
            <w:r w:rsidR="00252A39">
              <w:rPr>
                <w:sz w:val="18"/>
                <w:szCs w:val="18"/>
                <w:lang w:val="nl-NL"/>
              </w:rPr>
              <w:t>…</w:t>
            </w:r>
          </w:p>
        </w:tc>
      </w:tr>
      <w:tr w:rsidR="0013585C" w:rsidRPr="00F245AA" w14:paraId="1E8378E8" w14:textId="77777777" w:rsidTr="00095C1A">
        <w:trPr>
          <w:trHeight w:hRule="exact" w:val="3970"/>
        </w:trPr>
        <w:tc>
          <w:tcPr>
            <w:tcW w:w="3064" w:type="dxa"/>
            <w:tcBorders>
              <w:top w:val="nil"/>
              <w:left w:val="single" w:sz="4" w:space="0" w:color="231F20"/>
              <w:bottom w:val="single" w:sz="4" w:space="0" w:color="231F20"/>
              <w:right w:val="single" w:sz="4" w:space="0" w:color="231F20"/>
            </w:tcBorders>
          </w:tcPr>
          <w:p w14:paraId="5A066EA8" w14:textId="77777777" w:rsidR="0013585C" w:rsidRPr="0013585C" w:rsidRDefault="0013585C">
            <w:pPr>
              <w:pStyle w:val="TableParagraph"/>
              <w:spacing w:before="81"/>
              <w:rPr>
                <w:color w:val="231F20"/>
                <w:w w:val="110"/>
                <w:sz w:val="14"/>
                <w:lang w:val="nl-NL"/>
              </w:rPr>
            </w:pPr>
          </w:p>
        </w:tc>
        <w:tc>
          <w:tcPr>
            <w:tcW w:w="5715" w:type="dxa"/>
            <w:tcBorders>
              <w:top w:val="nil"/>
              <w:left w:val="single" w:sz="4" w:space="0" w:color="231F20"/>
              <w:bottom w:val="single" w:sz="4" w:space="0" w:color="231F20"/>
              <w:right w:val="single" w:sz="4" w:space="0" w:color="231F20"/>
            </w:tcBorders>
          </w:tcPr>
          <w:p w14:paraId="12920D44" w14:textId="77777777" w:rsidR="0013585C" w:rsidRDefault="00095C1A" w:rsidP="00095C1A">
            <w:pPr>
              <w:rPr>
                <w:sz w:val="18"/>
                <w:szCs w:val="18"/>
                <w:lang w:val="nl-NL"/>
              </w:rPr>
            </w:pPr>
            <w:r>
              <w:rPr>
                <w:sz w:val="18"/>
                <w:szCs w:val="18"/>
                <w:lang w:val="nl-NL"/>
              </w:rPr>
              <w:t>…</w:t>
            </w:r>
            <w:r w:rsidRPr="00095C1A">
              <w:rPr>
                <w:sz w:val="18"/>
                <w:szCs w:val="18"/>
                <w:lang w:val="nl-NL"/>
              </w:rPr>
              <w:t>diversiteit aan beroepsproducten. Hierbij valt te denken aan een</w:t>
            </w:r>
            <w:r>
              <w:rPr>
                <w:sz w:val="18"/>
                <w:szCs w:val="18"/>
                <w:lang w:val="nl-NL"/>
              </w:rPr>
              <w:t xml:space="preserve"> </w:t>
            </w:r>
            <w:r w:rsidRPr="00095C1A">
              <w:rPr>
                <w:sz w:val="18"/>
                <w:szCs w:val="18"/>
                <w:lang w:val="nl-NL"/>
              </w:rPr>
              <w:t>review of recensie, onderzoeksplan, literatuuronderzoek,</w:t>
            </w:r>
            <w:r>
              <w:rPr>
                <w:sz w:val="18"/>
                <w:szCs w:val="18"/>
                <w:lang w:val="nl-NL"/>
              </w:rPr>
              <w:t xml:space="preserve"> </w:t>
            </w:r>
            <w:r w:rsidRPr="00095C1A">
              <w:rPr>
                <w:sz w:val="18"/>
                <w:szCs w:val="18"/>
                <w:lang w:val="nl-NL"/>
              </w:rPr>
              <w:t>beleidsnotitie over implementatie, essay, vlogs t.b.v. reflectie, thema</w:t>
            </w:r>
            <w:r>
              <w:rPr>
                <w:sz w:val="18"/>
                <w:szCs w:val="18"/>
                <w:lang w:val="nl-NL"/>
              </w:rPr>
              <w:t xml:space="preserve"> </w:t>
            </w:r>
            <w:r w:rsidRPr="00095C1A">
              <w:rPr>
                <w:sz w:val="18"/>
                <w:szCs w:val="18"/>
                <w:lang w:val="nl-NL"/>
              </w:rPr>
              <w:t>papers en een ontwerp. Ook kennistoetsen maken deel uit van het</w:t>
            </w:r>
            <w:r>
              <w:rPr>
                <w:sz w:val="18"/>
                <w:szCs w:val="18"/>
                <w:lang w:val="nl-NL"/>
              </w:rPr>
              <w:t xml:space="preserve"> </w:t>
            </w:r>
            <w:r w:rsidRPr="00095C1A">
              <w:rPr>
                <w:sz w:val="18"/>
                <w:szCs w:val="18"/>
                <w:lang w:val="nl-NL"/>
              </w:rPr>
              <w:t>assessment. Er zijn maximaal twee assessment momenten: aan het</w:t>
            </w:r>
            <w:r>
              <w:rPr>
                <w:sz w:val="18"/>
                <w:szCs w:val="18"/>
                <w:lang w:val="nl-NL"/>
              </w:rPr>
              <w:t xml:space="preserve"> </w:t>
            </w:r>
            <w:r w:rsidRPr="00095C1A">
              <w:rPr>
                <w:sz w:val="18"/>
                <w:szCs w:val="18"/>
                <w:lang w:val="nl-NL"/>
              </w:rPr>
              <w:t>einde van het 1e semester en aan het einde van het 2e semester. Met</w:t>
            </w:r>
            <w:r>
              <w:rPr>
                <w:sz w:val="18"/>
                <w:szCs w:val="18"/>
                <w:lang w:val="nl-NL"/>
              </w:rPr>
              <w:t xml:space="preserve"> </w:t>
            </w:r>
            <w:r w:rsidRPr="00095C1A">
              <w:rPr>
                <w:sz w:val="18"/>
                <w:szCs w:val="18"/>
                <w:lang w:val="nl-NL"/>
              </w:rPr>
              <w:t>het oog op de samenwerking met bedrijven en de kennisontwikkeling</w:t>
            </w:r>
            <w:r>
              <w:rPr>
                <w:sz w:val="18"/>
                <w:szCs w:val="18"/>
                <w:lang w:val="nl-NL"/>
              </w:rPr>
              <w:t xml:space="preserve"> </w:t>
            </w:r>
            <w:r w:rsidRPr="00095C1A">
              <w:rPr>
                <w:sz w:val="18"/>
                <w:szCs w:val="18"/>
                <w:lang w:val="nl-NL"/>
              </w:rPr>
              <w:t>ten behoeve van de regio is een eindproduct in de vorm van een</w:t>
            </w:r>
            <w:r>
              <w:rPr>
                <w:sz w:val="18"/>
                <w:szCs w:val="18"/>
                <w:lang w:val="nl-NL"/>
              </w:rPr>
              <w:t xml:space="preserve"> </w:t>
            </w:r>
            <w:r w:rsidRPr="00095C1A">
              <w:rPr>
                <w:sz w:val="18"/>
                <w:szCs w:val="18"/>
                <w:lang w:val="nl-NL"/>
              </w:rPr>
              <w:t>slotmanifestatie en een serie artikelen onderdeel van het assessment</w:t>
            </w:r>
            <w:r>
              <w:rPr>
                <w:sz w:val="18"/>
                <w:szCs w:val="18"/>
                <w:lang w:val="nl-NL"/>
              </w:rPr>
              <w:t>.</w:t>
            </w:r>
          </w:p>
          <w:p w14:paraId="758FC7B7" w14:textId="77777777" w:rsidR="00095C1A" w:rsidRDefault="00095C1A" w:rsidP="00095C1A">
            <w:pPr>
              <w:rPr>
                <w:sz w:val="18"/>
                <w:szCs w:val="18"/>
                <w:lang w:val="nl-NL"/>
              </w:rPr>
            </w:pPr>
          </w:p>
          <w:p w14:paraId="43D00603" w14:textId="0C0C66C9" w:rsidR="00095C1A" w:rsidRPr="0013585C" w:rsidRDefault="00095C1A" w:rsidP="00095C1A">
            <w:pPr>
              <w:rPr>
                <w:sz w:val="18"/>
                <w:szCs w:val="18"/>
                <w:lang w:val="nl-NL"/>
              </w:rPr>
            </w:pPr>
            <w:r w:rsidRPr="00095C1A">
              <w:rPr>
                <w:sz w:val="18"/>
                <w:szCs w:val="18"/>
                <w:lang w:val="nl-NL"/>
              </w:rPr>
              <w:t>De didactische uitgangspunten binnen de master zijn onder meer</w:t>
            </w:r>
            <w:r>
              <w:rPr>
                <w:sz w:val="18"/>
                <w:szCs w:val="18"/>
                <w:lang w:val="nl-NL"/>
              </w:rPr>
              <w:t xml:space="preserve"> </w:t>
            </w:r>
            <w:r w:rsidRPr="00095C1A">
              <w:rPr>
                <w:sz w:val="18"/>
                <w:szCs w:val="18"/>
                <w:lang w:val="nl-NL"/>
              </w:rPr>
              <w:t>ontleend aan de principes van het onderwijskundig model High Impact</w:t>
            </w:r>
            <w:r>
              <w:rPr>
                <w:sz w:val="18"/>
                <w:szCs w:val="18"/>
                <w:lang w:val="nl-NL"/>
              </w:rPr>
              <w:t xml:space="preserve"> </w:t>
            </w:r>
            <w:r w:rsidRPr="00095C1A">
              <w:rPr>
                <w:sz w:val="18"/>
                <w:szCs w:val="18"/>
                <w:lang w:val="nl-NL"/>
              </w:rPr>
              <w:t>Learning</w:t>
            </w:r>
            <w:r w:rsidR="0048184E">
              <w:rPr>
                <w:rStyle w:val="Voetnootmarkering"/>
                <w:sz w:val="18"/>
                <w:szCs w:val="18"/>
                <w:lang w:val="nl-NL"/>
              </w:rPr>
              <w:footnoteReference w:id="3"/>
            </w:r>
            <w:r w:rsidRPr="00095C1A">
              <w:rPr>
                <w:sz w:val="18"/>
                <w:szCs w:val="18"/>
                <w:lang w:val="nl-NL"/>
              </w:rPr>
              <w:t>waarbij studenten, lectoren, docenten en bedrijven samen</w:t>
            </w:r>
            <w:r>
              <w:rPr>
                <w:sz w:val="18"/>
                <w:szCs w:val="18"/>
                <w:lang w:val="nl-NL"/>
              </w:rPr>
              <w:t xml:space="preserve"> </w:t>
            </w:r>
            <w:r w:rsidRPr="00095C1A">
              <w:rPr>
                <w:sz w:val="18"/>
                <w:szCs w:val="18"/>
                <w:lang w:val="nl-NL"/>
              </w:rPr>
              <w:t>een professionele leergemeenschap vormen. De studenten werken in</w:t>
            </w:r>
            <w:r>
              <w:rPr>
                <w:sz w:val="18"/>
                <w:szCs w:val="18"/>
                <w:lang w:val="nl-NL"/>
              </w:rPr>
              <w:t xml:space="preserve"> </w:t>
            </w:r>
            <w:r w:rsidRPr="00095C1A">
              <w:rPr>
                <w:sz w:val="18"/>
                <w:szCs w:val="18"/>
                <w:lang w:val="nl-NL"/>
              </w:rPr>
              <w:t>living labs op locatie en kennisdeling staat centraal in de vorm van</w:t>
            </w:r>
            <w:r>
              <w:rPr>
                <w:sz w:val="18"/>
                <w:szCs w:val="18"/>
                <w:lang w:val="nl-NL"/>
              </w:rPr>
              <w:t xml:space="preserve"> </w:t>
            </w:r>
            <w:r w:rsidRPr="00095C1A">
              <w:rPr>
                <w:sz w:val="18"/>
                <w:szCs w:val="18"/>
                <w:lang w:val="nl-NL"/>
              </w:rPr>
              <w:t>seminars. Reflectie en intervisie helpen studenten in hun persoonlijke</w:t>
            </w:r>
            <w:r>
              <w:rPr>
                <w:sz w:val="18"/>
                <w:szCs w:val="18"/>
                <w:lang w:val="nl-NL"/>
              </w:rPr>
              <w:t xml:space="preserve"> </w:t>
            </w:r>
            <w:r w:rsidRPr="00095C1A">
              <w:rPr>
                <w:sz w:val="18"/>
                <w:szCs w:val="18"/>
                <w:lang w:val="nl-NL"/>
              </w:rPr>
              <w:t>en professionele ontwikkeling. De portfolio als methode van</w:t>
            </w:r>
            <w:r>
              <w:rPr>
                <w:sz w:val="18"/>
                <w:szCs w:val="18"/>
                <w:lang w:val="nl-NL"/>
              </w:rPr>
              <w:t xml:space="preserve"> </w:t>
            </w:r>
            <w:r w:rsidRPr="00095C1A">
              <w:rPr>
                <w:sz w:val="18"/>
                <w:szCs w:val="18"/>
                <w:lang w:val="nl-NL"/>
              </w:rPr>
              <w:t>assessment versterkt het leer- en ontwikkelproces van de student.</w:t>
            </w:r>
          </w:p>
        </w:tc>
      </w:tr>
      <w:tr w:rsidR="00696354" w14:paraId="68620544" w14:textId="77777777" w:rsidTr="0013585C">
        <w:trPr>
          <w:trHeight w:hRule="exact" w:val="340"/>
        </w:trPr>
        <w:tc>
          <w:tcPr>
            <w:tcW w:w="3064" w:type="dxa"/>
            <w:tcBorders>
              <w:top w:val="single" w:sz="4" w:space="0" w:color="231F20"/>
            </w:tcBorders>
          </w:tcPr>
          <w:p w14:paraId="21C88044" w14:textId="77777777" w:rsidR="00696354" w:rsidRDefault="001700CE">
            <w:pPr>
              <w:pStyle w:val="TableParagraph"/>
              <w:spacing w:before="81"/>
              <w:rPr>
                <w:sz w:val="9"/>
              </w:rPr>
            </w:pPr>
            <w:r>
              <w:rPr>
                <w:color w:val="231F20"/>
                <w:w w:val="110"/>
                <w:sz w:val="14"/>
              </w:rPr>
              <w:t>Studielast</w:t>
            </w:r>
            <w:r>
              <w:rPr>
                <w:color w:val="231F20"/>
                <w:w w:val="110"/>
                <w:position w:val="5"/>
                <w:sz w:val="9"/>
              </w:rPr>
              <w:t>1</w:t>
            </w:r>
          </w:p>
        </w:tc>
        <w:tc>
          <w:tcPr>
            <w:tcW w:w="5715" w:type="dxa"/>
            <w:tcBorders>
              <w:top w:val="single" w:sz="4" w:space="0" w:color="231F20"/>
            </w:tcBorders>
          </w:tcPr>
          <w:p w14:paraId="23ED79AF" w14:textId="38FF07E5" w:rsidR="00696354" w:rsidRPr="00E32D2E" w:rsidRDefault="00946499">
            <w:pPr>
              <w:rPr>
                <w:sz w:val="18"/>
                <w:szCs w:val="18"/>
              </w:rPr>
            </w:pPr>
            <w:r w:rsidRPr="00E32D2E">
              <w:rPr>
                <w:sz w:val="18"/>
                <w:szCs w:val="18"/>
              </w:rPr>
              <w:t>60 EC</w:t>
            </w:r>
          </w:p>
        </w:tc>
      </w:tr>
      <w:tr w:rsidR="00696354" w:rsidRPr="003139E9" w14:paraId="53830D27" w14:textId="77777777">
        <w:trPr>
          <w:trHeight w:hRule="exact" w:val="510"/>
        </w:trPr>
        <w:tc>
          <w:tcPr>
            <w:tcW w:w="3064" w:type="dxa"/>
          </w:tcPr>
          <w:p w14:paraId="1370E19D" w14:textId="77777777" w:rsidR="00696354" w:rsidRPr="003139E9" w:rsidRDefault="001700CE">
            <w:pPr>
              <w:pStyle w:val="TableParagraph"/>
              <w:spacing w:line="254" w:lineRule="auto"/>
              <w:ind w:right="951"/>
              <w:rPr>
                <w:sz w:val="14"/>
                <w:lang w:val="nl-NL"/>
              </w:rPr>
            </w:pPr>
            <w:r w:rsidRPr="003139E9">
              <w:rPr>
                <w:color w:val="231F20"/>
                <w:w w:val="110"/>
                <w:sz w:val="14"/>
                <w:lang w:val="nl-NL"/>
              </w:rPr>
              <w:t>Vorm van de opleiding (voltijd, deeltijd, duaal)</w:t>
            </w:r>
          </w:p>
        </w:tc>
        <w:tc>
          <w:tcPr>
            <w:tcW w:w="5715" w:type="dxa"/>
          </w:tcPr>
          <w:p w14:paraId="6C8C0AB1" w14:textId="17DAC914" w:rsidR="00696354" w:rsidRPr="00E32D2E" w:rsidRDefault="00B813DC">
            <w:pPr>
              <w:rPr>
                <w:sz w:val="18"/>
                <w:szCs w:val="18"/>
                <w:lang w:val="nl-NL"/>
              </w:rPr>
            </w:pPr>
            <w:r w:rsidRPr="00E32D2E">
              <w:rPr>
                <w:sz w:val="18"/>
                <w:szCs w:val="18"/>
                <w:lang w:val="nl-NL"/>
              </w:rPr>
              <w:t>Voltijd, deeltijd</w:t>
            </w:r>
          </w:p>
        </w:tc>
      </w:tr>
      <w:tr w:rsidR="00696354" w:rsidRPr="003139E9" w14:paraId="067347E5" w14:textId="77777777">
        <w:trPr>
          <w:trHeight w:hRule="exact" w:val="510"/>
        </w:trPr>
        <w:tc>
          <w:tcPr>
            <w:tcW w:w="3064" w:type="dxa"/>
          </w:tcPr>
          <w:p w14:paraId="659C7DE3" w14:textId="77777777" w:rsidR="00696354" w:rsidRPr="003139E9" w:rsidRDefault="001700CE">
            <w:pPr>
              <w:pStyle w:val="TableParagraph"/>
              <w:spacing w:line="254" w:lineRule="auto"/>
              <w:ind w:right="728"/>
              <w:rPr>
                <w:sz w:val="14"/>
                <w:lang w:val="nl-NL"/>
              </w:rPr>
            </w:pPr>
            <w:r w:rsidRPr="003139E9">
              <w:rPr>
                <w:color w:val="231F20"/>
                <w:w w:val="110"/>
                <w:sz w:val="14"/>
                <w:lang w:val="nl-NL"/>
              </w:rPr>
              <w:t>Gemeente</w:t>
            </w:r>
            <w:r w:rsidRPr="003139E9">
              <w:rPr>
                <w:color w:val="231F20"/>
                <w:spacing w:val="-23"/>
                <w:w w:val="110"/>
                <w:sz w:val="14"/>
                <w:lang w:val="nl-NL"/>
              </w:rPr>
              <w:t xml:space="preserve"> </w:t>
            </w:r>
            <w:r w:rsidRPr="003139E9">
              <w:rPr>
                <w:color w:val="231F20"/>
                <w:w w:val="110"/>
                <w:sz w:val="14"/>
                <w:lang w:val="nl-NL"/>
              </w:rPr>
              <w:t>of</w:t>
            </w:r>
            <w:r w:rsidRPr="003139E9">
              <w:rPr>
                <w:color w:val="231F20"/>
                <w:spacing w:val="-23"/>
                <w:w w:val="110"/>
                <w:sz w:val="14"/>
                <w:lang w:val="nl-NL"/>
              </w:rPr>
              <w:t xml:space="preserve"> </w:t>
            </w:r>
            <w:r w:rsidRPr="003139E9">
              <w:rPr>
                <w:color w:val="231F20"/>
                <w:w w:val="110"/>
                <w:sz w:val="14"/>
                <w:lang w:val="nl-NL"/>
              </w:rPr>
              <w:t>gemeenten</w:t>
            </w:r>
            <w:r w:rsidRPr="003139E9">
              <w:rPr>
                <w:color w:val="231F20"/>
                <w:spacing w:val="-23"/>
                <w:w w:val="110"/>
                <w:sz w:val="14"/>
                <w:lang w:val="nl-NL"/>
              </w:rPr>
              <w:t xml:space="preserve"> </w:t>
            </w:r>
            <w:r w:rsidRPr="003139E9">
              <w:rPr>
                <w:color w:val="231F20"/>
                <w:w w:val="110"/>
                <w:sz w:val="14"/>
                <w:lang w:val="nl-NL"/>
              </w:rPr>
              <w:t>waar</w:t>
            </w:r>
            <w:r w:rsidRPr="003139E9">
              <w:rPr>
                <w:color w:val="231F20"/>
                <w:spacing w:val="-23"/>
                <w:w w:val="110"/>
                <w:sz w:val="14"/>
                <w:lang w:val="nl-NL"/>
              </w:rPr>
              <w:t xml:space="preserve"> </w:t>
            </w:r>
            <w:r w:rsidRPr="003139E9">
              <w:rPr>
                <w:color w:val="231F20"/>
                <w:w w:val="110"/>
                <w:sz w:val="14"/>
                <w:lang w:val="nl-NL"/>
              </w:rPr>
              <w:t>de opleiding wordt</w:t>
            </w:r>
            <w:r w:rsidRPr="003139E9">
              <w:rPr>
                <w:color w:val="231F20"/>
                <w:spacing w:val="-9"/>
                <w:w w:val="110"/>
                <w:sz w:val="14"/>
                <w:lang w:val="nl-NL"/>
              </w:rPr>
              <w:t xml:space="preserve"> </w:t>
            </w:r>
            <w:r w:rsidRPr="003139E9">
              <w:rPr>
                <w:color w:val="231F20"/>
                <w:w w:val="110"/>
                <w:sz w:val="14"/>
                <w:lang w:val="nl-NL"/>
              </w:rPr>
              <w:t>gevestigd</w:t>
            </w:r>
          </w:p>
        </w:tc>
        <w:tc>
          <w:tcPr>
            <w:tcW w:w="5715" w:type="dxa"/>
          </w:tcPr>
          <w:p w14:paraId="3F965CCF" w14:textId="0A49B29C" w:rsidR="00696354" w:rsidRPr="00E32D2E" w:rsidRDefault="00B813DC">
            <w:pPr>
              <w:rPr>
                <w:sz w:val="18"/>
                <w:szCs w:val="18"/>
                <w:lang w:val="nl-NL"/>
              </w:rPr>
            </w:pPr>
            <w:r w:rsidRPr="00E32D2E">
              <w:rPr>
                <w:sz w:val="18"/>
                <w:szCs w:val="18"/>
                <w:lang w:val="nl-NL"/>
              </w:rPr>
              <w:t>Arnhem</w:t>
            </w:r>
          </w:p>
        </w:tc>
      </w:tr>
      <w:tr w:rsidR="00696354" w:rsidRPr="00E32D2E" w14:paraId="4FC65A47" w14:textId="77777777" w:rsidTr="00E32D2E">
        <w:trPr>
          <w:trHeight w:hRule="exact" w:val="433"/>
        </w:trPr>
        <w:tc>
          <w:tcPr>
            <w:tcW w:w="3064" w:type="dxa"/>
          </w:tcPr>
          <w:p w14:paraId="0F99D5BD" w14:textId="77777777" w:rsidR="00696354" w:rsidRDefault="001700CE">
            <w:pPr>
              <w:pStyle w:val="TableParagraph"/>
              <w:rPr>
                <w:sz w:val="14"/>
              </w:rPr>
            </w:pPr>
            <w:r>
              <w:rPr>
                <w:color w:val="231F20"/>
                <w:w w:val="105"/>
                <w:sz w:val="14"/>
              </w:rPr>
              <w:t>Doelgroep van de opleiding</w:t>
            </w:r>
          </w:p>
        </w:tc>
        <w:tc>
          <w:tcPr>
            <w:tcW w:w="5715" w:type="dxa"/>
          </w:tcPr>
          <w:p w14:paraId="69AA44C0" w14:textId="77777777" w:rsidR="00E32D2E" w:rsidRPr="00E32D2E" w:rsidRDefault="00E32D2E" w:rsidP="00E32D2E">
            <w:pPr>
              <w:rPr>
                <w:sz w:val="18"/>
                <w:szCs w:val="18"/>
                <w:lang w:val="nl-NL"/>
              </w:rPr>
            </w:pPr>
            <w:r w:rsidRPr="00E32D2E">
              <w:rPr>
                <w:sz w:val="18"/>
                <w:szCs w:val="18"/>
                <w:lang w:val="nl-NL"/>
              </w:rPr>
              <w:t>De doelgroep bestaat uit afgestudeerde hbo’ers met een economische</w:t>
            </w:r>
          </w:p>
          <w:p w14:paraId="1BA97A52" w14:textId="441C765B" w:rsidR="00696354" w:rsidRPr="00E32D2E" w:rsidRDefault="00E32D2E" w:rsidP="00E32D2E">
            <w:pPr>
              <w:rPr>
                <w:sz w:val="18"/>
                <w:szCs w:val="18"/>
                <w:lang w:val="nl-NL"/>
              </w:rPr>
            </w:pPr>
            <w:r w:rsidRPr="00E32D2E">
              <w:rPr>
                <w:sz w:val="18"/>
                <w:szCs w:val="18"/>
                <w:lang w:val="nl-NL"/>
              </w:rPr>
              <w:t>of technische bacheloropleiding</w:t>
            </w:r>
          </w:p>
        </w:tc>
      </w:tr>
      <w:tr w:rsidR="00696354" w:rsidRPr="003139E9" w14:paraId="3CD7F5BC" w14:textId="77777777">
        <w:trPr>
          <w:trHeight w:hRule="exact" w:val="340"/>
        </w:trPr>
        <w:tc>
          <w:tcPr>
            <w:tcW w:w="3064" w:type="dxa"/>
          </w:tcPr>
          <w:p w14:paraId="0782425E" w14:textId="77777777" w:rsidR="00696354" w:rsidRPr="003139E9" w:rsidRDefault="001700CE">
            <w:pPr>
              <w:pStyle w:val="TableParagraph"/>
              <w:rPr>
                <w:sz w:val="14"/>
                <w:lang w:val="nl-NL"/>
              </w:rPr>
            </w:pPr>
            <w:r w:rsidRPr="003139E9">
              <w:rPr>
                <w:color w:val="231F20"/>
                <w:w w:val="105"/>
                <w:sz w:val="14"/>
                <w:lang w:val="nl-NL"/>
              </w:rPr>
              <w:t>Croho (sub)onderdeel en  motivering</w:t>
            </w:r>
          </w:p>
        </w:tc>
        <w:tc>
          <w:tcPr>
            <w:tcW w:w="5715" w:type="dxa"/>
          </w:tcPr>
          <w:p w14:paraId="2B38CB32" w14:textId="2706865F" w:rsidR="00696354" w:rsidRPr="00E32D2E" w:rsidRDefault="00E32D2E">
            <w:pPr>
              <w:rPr>
                <w:sz w:val="18"/>
                <w:szCs w:val="18"/>
                <w:lang w:val="nl-NL"/>
              </w:rPr>
            </w:pPr>
            <w:r>
              <w:rPr>
                <w:sz w:val="18"/>
                <w:szCs w:val="18"/>
                <w:lang w:val="nl-NL"/>
              </w:rPr>
              <w:t>Economie</w:t>
            </w:r>
          </w:p>
        </w:tc>
      </w:tr>
      <w:tr w:rsidR="00696354" w14:paraId="21D65C98" w14:textId="77777777">
        <w:trPr>
          <w:trHeight w:hRule="exact" w:val="340"/>
        </w:trPr>
        <w:tc>
          <w:tcPr>
            <w:tcW w:w="3064" w:type="dxa"/>
          </w:tcPr>
          <w:p w14:paraId="43FB0C75" w14:textId="77777777" w:rsidR="00696354" w:rsidRDefault="001700CE">
            <w:pPr>
              <w:pStyle w:val="TableParagraph"/>
              <w:rPr>
                <w:sz w:val="14"/>
              </w:rPr>
            </w:pPr>
            <w:r>
              <w:rPr>
                <w:color w:val="231F20"/>
                <w:w w:val="110"/>
                <w:sz w:val="14"/>
              </w:rPr>
              <w:t>Geplande startdatum vestiging</w:t>
            </w:r>
          </w:p>
        </w:tc>
        <w:tc>
          <w:tcPr>
            <w:tcW w:w="5715" w:type="dxa"/>
          </w:tcPr>
          <w:p w14:paraId="1119B235" w14:textId="7B4A161A" w:rsidR="00696354" w:rsidRPr="00E32D2E" w:rsidRDefault="002F37B2">
            <w:pPr>
              <w:rPr>
                <w:sz w:val="18"/>
                <w:szCs w:val="18"/>
              </w:rPr>
            </w:pPr>
            <w:r>
              <w:rPr>
                <w:sz w:val="18"/>
                <w:szCs w:val="18"/>
              </w:rPr>
              <w:t xml:space="preserve">1 september 2023 </w:t>
            </w:r>
          </w:p>
        </w:tc>
      </w:tr>
      <w:tr w:rsidR="00696354" w:rsidRPr="003139E9" w14:paraId="7725D2C3" w14:textId="77777777">
        <w:trPr>
          <w:trHeight w:hRule="exact" w:val="340"/>
        </w:trPr>
        <w:tc>
          <w:tcPr>
            <w:tcW w:w="3064" w:type="dxa"/>
          </w:tcPr>
          <w:p w14:paraId="37AAF5AE" w14:textId="77777777" w:rsidR="00696354" w:rsidRPr="003139E9" w:rsidRDefault="001700CE">
            <w:pPr>
              <w:pStyle w:val="TableParagraph"/>
              <w:rPr>
                <w:sz w:val="14"/>
                <w:lang w:val="nl-NL"/>
              </w:rPr>
            </w:pPr>
            <w:r w:rsidRPr="003139E9">
              <w:rPr>
                <w:color w:val="231F20"/>
                <w:w w:val="105"/>
                <w:sz w:val="14"/>
                <w:lang w:val="nl-NL"/>
              </w:rPr>
              <w:t>ISAT code van de opleiding</w:t>
            </w:r>
          </w:p>
        </w:tc>
        <w:tc>
          <w:tcPr>
            <w:tcW w:w="5715" w:type="dxa"/>
          </w:tcPr>
          <w:p w14:paraId="349FF279" w14:textId="011A97D4" w:rsidR="00696354" w:rsidRPr="00E32D2E" w:rsidRDefault="00651D56">
            <w:pPr>
              <w:rPr>
                <w:sz w:val="18"/>
                <w:szCs w:val="18"/>
                <w:lang w:val="nl-NL"/>
              </w:rPr>
            </w:pPr>
            <w:r w:rsidRPr="00651D56">
              <w:rPr>
                <w:sz w:val="18"/>
                <w:szCs w:val="18"/>
                <w:lang w:val="nl-NL"/>
              </w:rPr>
              <w:t>49142</w:t>
            </w:r>
          </w:p>
        </w:tc>
      </w:tr>
      <w:tr w:rsidR="00696354" w:rsidRPr="003139E9" w14:paraId="76DE8514" w14:textId="77777777">
        <w:trPr>
          <w:trHeight w:hRule="exact" w:val="329"/>
        </w:trPr>
        <w:tc>
          <w:tcPr>
            <w:tcW w:w="3064" w:type="dxa"/>
          </w:tcPr>
          <w:p w14:paraId="011375A2" w14:textId="77777777" w:rsidR="00696354" w:rsidRPr="003139E9" w:rsidRDefault="001700CE">
            <w:pPr>
              <w:pStyle w:val="TableParagraph"/>
              <w:rPr>
                <w:sz w:val="14"/>
                <w:lang w:val="nl-NL"/>
              </w:rPr>
            </w:pPr>
            <w:r w:rsidRPr="003139E9">
              <w:rPr>
                <w:color w:val="231F20"/>
                <w:w w:val="110"/>
                <w:sz w:val="14"/>
                <w:lang w:val="nl-NL"/>
              </w:rPr>
              <w:t>BRIN code van de instelling</w:t>
            </w:r>
          </w:p>
        </w:tc>
        <w:tc>
          <w:tcPr>
            <w:tcW w:w="5715" w:type="dxa"/>
          </w:tcPr>
          <w:p w14:paraId="629485D1" w14:textId="43D45BE3" w:rsidR="00696354" w:rsidRPr="00E32D2E" w:rsidRDefault="000F5BC1">
            <w:pPr>
              <w:rPr>
                <w:sz w:val="18"/>
                <w:szCs w:val="18"/>
                <w:lang w:val="nl-NL"/>
              </w:rPr>
            </w:pPr>
            <w:r w:rsidRPr="00E32D2E">
              <w:rPr>
                <w:sz w:val="18"/>
                <w:szCs w:val="18"/>
                <w:lang w:val="nl-NL"/>
              </w:rPr>
              <w:t>25</w:t>
            </w:r>
            <w:r w:rsidR="00847E01" w:rsidRPr="00E32D2E">
              <w:rPr>
                <w:sz w:val="18"/>
                <w:szCs w:val="18"/>
                <w:lang w:val="nl-NL"/>
              </w:rPr>
              <w:t>KB</w:t>
            </w:r>
          </w:p>
        </w:tc>
      </w:tr>
    </w:tbl>
    <w:p w14:paraId="27E1DE53" w14:textId="123C59EA" w:rsidR="00696354" w:rsidRPr="005168C8" w:rsidRDefault="00696354" w:rsidP="00B6510E">
      <w:pPr>
        <w:pStyle w:val="Plattetekst"/>
        <w:spacing w:before="7"/>
        <w:rPr>
          <w:rFonts w:ascii="Verdana"/>
          <w:b/>
          <w:i/>
          <w:sz w:val="17"/>
        </w:rPr>
      </w:pPr>
    </w:p>
    <w:sectPr w:rsidR="00696354" w:rsidRPr="005168C8">
      <w:headerReference w:type="default" r:id="rId12"/>
      <w:pgSz w:w="11900" w:h="16840"/>
      <w:pgMar w:top="360" w:right="0" w:bottom="920" w:left="140" w:header="0" w:footer="7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C9490" w14:textId="77777777" w:rsidR="00E05E30" w:rsidRDefault="00E05E30">
      <w:r>
        <w:separator/>
      </w:r>
    </w:p>
  </w:endnote>
  <w:endnote w:type="continuationSeparator" w:id="0">
    <w:p w14:paraId="2FBA8FA2" w14:textId="77777777" w:rsidR="00E05E30" w:rsidRDefault="00E05E30">
      <w:r>
        <w:continuationSeparator/>
      </w:r>
    </w:p>
  </w:endnote>
  <w:endnote w:type="continuationNotice" w:id="1">
    <w:p w14:paraId="317BFE1B" w14:textId="77777777" w:rsidR="0048683E" w:rsidRDefault="00486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06ADE" w14:textId="77777777" w:rsidR="00E05E30" w:rsidRDefault="00E05E30">
      <w:r>
        <w:separator/>
      </w:r>
    </w:p>
  </w:footnote>
  <w:footnote w:type="continuationSeparator" w:id="0">
    <w:p w14:paraId="50CC4CA3" w14:textId="77777777" w:rsidR="00E05E30" w:rsidRDefault="00E05E30">
      <w:r>
        <w:continuationSeparator/>
      </w:r>
    </w:p>
  </w:footnote>
  <w:footnote w:type="continuationNotice" w:id="1">
    <w:p w14:paraId="59939311" w14:textId="77777777" w:rsidR="0048683E" w:rsidRDefault="0048683E"/>
  </w:footnote>
  <w:footnote w:id="2">
    <w:p w14:paraId="24F14297" w14:textId="115EE974" w:rsidR="00323A65" w:rsidRPr="00323A65" w:rsidRDefault="00323A65" w:rsidP="00323A65">
      <w:pPr>
        <w:pStyle w:val="Voetnoottekst"/>
        <w:rPr>
          <w:lang w:val="nl-NL"/>
        </w:rPr>
      </w:pPr>
      <w:r>
        <w:rPr>
          <w:rStyle w:val="Voetnootmarkering"/>
        </w:rPr>
        <w:footnoteRef/>
      </w:r>
      <w:r w:rsidRPr="00323A65">
        <w:rPr>
          <w:lang w:val="nl-NL"/>
        </w:rPr>
        <w:t xml:space="preserve"> </w:t>
      </w:r>
      <w:r w:rsidRPr="00323A65">
        <w:rPr>
          <w:sz w:val="14"/>
          <w:szCs w:val="14"/>
          <w:lang w:val="nl-NL"/>
        </w:rPr>
        <w:t>Het model van meervoudige waardecreatie is ontleend aan het rapportageraamwerk van de IIRC (</w:t>
      </w:r>
      <w:hyperlink r:id="rId1" w:history="1">
        <w:r w:rsidRPr="00095E1C">
          <w:rPr>
            <w:rStyle w:val="Hyperlink"/>
            <w:sz w:val="14"/>
            <w:szCs w:val="14"/>
            <w:lang w:val="nl-NL"/>
          </w:rPr>
          <w:t>www.IIRC.org</w:t>
        </w:r>
      </w:hyperlink>
      <w:r w:rsidRPr="00323A65">
        <w:rPr>
          <w:sz w:val="14"/>
          <w:szCs w:val="14"/>
          <w:lang w:val="nl-NL"/>
        </w:rPr>
        <w:t>) en gaat uit van zes</w:t>
      </w:r>
      <w:r w:rsidR="0077565A">
        <w:rPr>
          <w:sz w:val="14"/>
          <w:szCs w:val="14"/>
          <w:lang w:val="nl-NL"/>
        </w:rPr>
        <w:t xml:space="preserve"> </w:t>
      </w:r>
      <w:r w:rsidRPr="00323A65">
        <w:rPr>
          <w:sz w:val="14"/>
          <w:szCs w:val="14"/>
          <w:lang w:val="nl-NL"/>
        </w:rPr>
        <w:t>waarden die en rol spelen bij de waardecreatie van ondernemingen: financiële-, materiele-, intellectuele-, menselijke-, natuurlijke- en</w:t>
      </w:r>
      <w:r w:rsidR="0077565A">
        <w:rPr>
          <w:sz w:val="14"/>
          <w:szCs w:val="14"/>
          <w:lang w:val="nl-NL"/>
        </w:rPr>
        <w:t xml:space="preserve"> </w:t>
      </w:r>
      <w:r w:rsidRPr="00323A65">
        <w:rPr>
          <w:sz w:val="14"/>
          <w:szCs w:val="14"/>
          <w:lang w:val="nl-NL"/>
        </w:rPr>
        <w:t>relationele waarde.</w:t>
      </w:r>
    </w:p>
  </w:footnote>
  <w:footnote w:id="3">
    <w:p w14:paraId="52CFE36B" w14:textId="74DF85DE" w:rsidR="0048184E" w:rsidRPr="0048184E" w:rsidRDefault="0048184E">
      <w:pPr>
        <w:pStyle w:val="Voetnoottekst"/>
      </w:pPr>
      <w:r>
        <w:rPr>
          <w:rStyle w:val="Voetnootmarkering"/>
        </w:rPr>
        <w:footnoteRef/>
      </w:r>
      <w:r>
        <w:t xml:space="preserve"> </w:t>
      </w:r>
      <w:r w:rsidRPr="0048184E">
        <w:rPr>
          <w:sz w:val="14"/>
          <w:szCs w:val="14"/>
        </w:rPr>
        <w:t>Filip Dochy (2015) High Impact Learning anno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515B" w14:textId="77777777" w:rsidR="00696354" w:rsidRDefault="00696354">
    <w:pPr>
      <w:pStyle w:val="Platteteks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F56"/>
    <w:multiLevelType w:val="hybridMultilevel"/>
    <w:tmpl w:val="EBBA01B0"/>
    <w:lvl w:ilvl="0" w:tplc="F422620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00733"/>
    <w:multiLevelType w:val="hybridMultilevel"/>
    <w:tmpl w:val="DBE6A58E"/>
    <w:lvl w:ilvl="0" w:tplc="CDD88334">
      <w:numFmt w:val="bullet"/>
      <w:lvlText w:val="–"/>
      <w:lvlJc w:val="left"/>
      <w:pPr>
        <w:ind w:left="104" w:hanging="109"/>
      </w:pPr>
      <w:rPr>
        <w:rFonts w:ascii="Arial" w:eastAsia="Arial" w:hAnsi="Arial" w:cs="Arial" w:hint="default"/>
        <w:color w:val="231F20"/>
        <w:w w:val="89"/>
        <w:sz w:val="14"/>
        <w:szCs w:val="14"/>
      </w:rPr>
    </w:lvl>
    <w:lvl w:ilvl="1" w:tplc="D8B63EAA">
      <w:numFmt w:val="bullet"/>
      <w:lvlText w:val="•"/>
      <w:lvlJc w:val="left"/>
      <w:pPr>
        <w:ind w:left="967" w:hanging="109"/>
      </w:pPr>
      <w:rPr>
        <w:rFonts w:hint="default"/>
      </w:rPr>
    </w:lvl>
    <w:lvl w:ilvl="2" w:tplc="85DEFFCE">
      <w:numFmt w:val="bullet"/>
      <w:lvlText w:val="•"/>
      <w:lvlJc w:val="left"/>
      <w:pPr>
        <w:ind w:left="1834" w:hanging="109"/>
      </w:pPr>
      <w:rPr>
        <w:rFonts w:hint="default"/>
      </w:rPr>
    </w:lvl>
    <w:lvl w:ilvl="3" w:tplc="2CD65AF6">
      <w:numFmt w:val="bullet"/>
      <w:lvlText w:val="•"/>
      <w:lvlJc w:val="left"/>
      <w:pPr>
        <w:ind w:left="2701" w:hanging="109"/>
      </w:pPr>
      <w:rPr>
        <w:rFonts w:hint="default"/>
      </w:rPr>
    </w:lvl>
    <w:lvl w:ilvl="4" w:tplc="00F044AE">
      <w:numFmt w:val="bullet"/>
      <w:lvlText w:val="•"/>
      <w:lvlJc w:val="left"/>
      <w:pPr>
        <w:ind w:left="3568" w:hanging="109"/>
      </w:pPr>
      <w:rPr>
        <w:rFonts w:hint="default"/>
      </w:rPr>
    </w:lvl>
    <w:lvl w:ilvl="5" w:tplc="31E21E98">
      <w:numFmt w:val="bullet"/>
      <w:lvlText w:val="•"/>
      <w:lvlJc w:val="left"/>
      <w:pPr>
        <w:ind w:left="4435" w:hanging="109"/>
      </w:pPr>
      <w:rPr>
        <w:rFonts w:hint="default"/>
      </w:rPr>
    </w:lvl>
    <w:lvl w:ilvl="6" w:tplc="176E3D8A">
      <w:numFmt w:val="bullet"/>
      <w:lvlText w:val="•"/>
      <w:lvlJc w:val="left"/>
      <w:pPr>
        <w:ind w:left="5302" w:hanging="109"/>
      </w:pPr>
      <w:rPr>
        <w:rFonts w:hint="default"/>
      </w:rPr>
    </w:lvl>
    <w:lvl w:ilvl="7" w:tplc="390AC21A">
      <w:numFmt w:val="bullet"/>
      <w:lvlText w:val="•"/>
      <w:lvlJc w:val="left"/>
      <w:pPr>
        <w:ind w:left="6169" w:hanging="109"/>
      </w:pPr>
      <w:rPr>
        <w:rFonts w:hint="default"/>
      </w:rPr>
    </w:lvl>
    <w:lvl w:ilvl="8" w:tplc="165E6E72">
      <w:numFmt w:val="bullet"/>
      <w:lvlText w:val="•"/>
      <w:lvlJc w:val="left"/>
      <w:pPr>
        <w:ind w:left="7036" w:hanging="109"/>
      </w:pPr>
      <w:rPr>
        <w:rFonts w:hint="default"/>
      </w:rPr>
    </w:lvl>
  </w:abstractNum>
  <w:abstractNum w:abstractNumId="2" w15:restartNumberingAfterBreak="0">
    <w:nsid w:val="23B9181B"/>
    <w:multiLevelType w:val="hybridMultilevel"/>
    <w:tmpl w:val="E4FC5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238FF"/>
    <w:multiLevelType w:val="hybridMultilevel"/>
    <w:tmpl w:val="7166EC92"/>
    <w:lvl w:ilvl="0" w:tplc="8736AAB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E5317E"/>
    <w:multiLevelType w:val="hybridMultilevel"/>
    <w:tmpl w:val="11683AA4"/>
    <w:lvl w:ilvl="0" w:tplc="7D30169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127540">
    <w:abstractNumId w:val="1"/>
  </w:num>
  <w:num w:numId="2" w16cid:durableId="2104255473">
    <w:abstractNumId w:val="2"/>
  </w:num>
  <w:num w:numId="3" w16cid:durableId="310719407">
    <w:abstractNumId w:val="0"/>
  </w:num>
  <w:num w:numId="4" w16cid:durableId="440414606">
    <w:abstractNumId w:val="3"/>
  </w:num>
  <w:num w:numId="5" w16cid:durableId="777917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0"/>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354"/>
    <w:rsid w:val="0000056D"/>
    <w:rsid w:val="00011634"/>
    <w:rsid w:val="00014C88"/>
    <w:rsid w:val="0002205E"/>
    <w:rsid w:val="00024D3D"/>
    <w:rsid w:val="00040797"/>
    <w:rsid w:val="00040C0D"/>
    <w:rsid w:val="000456AA"/>
    <w:rsid w:val="000459B4"/>
    <w:rsid w:val="0005370A"/>
    <w:rsid w:val="00055FC2"/>
    <w:rsid w:val="00066A09"/>
    <w:rsid w:val="00067A88"/>
    <w:rsid w:val="000702DD"/>
    <w:rsid w:val="000818A7"/>
    <w:rsid w:val="00090164"/>
    <w:rsid w:val="00095C1A"/>
    <w:rsid w:val="0009749C"/>
    <w:rsid w:val="000A428F"/>
    <w:rsid w:val="000B23C9"/>
    <w:rsid w:val="000C04AF"/>
    <w:rsid w:val="000C4A4B"/>
    <w:rsid w:val="000D3934"/>
    <w:rsid w:val="000D6D95"/>
    <w:rsid w:val="000E029F"/>
    <w:rsid w:val="000F2C8B"/>
    <w:rsid w:val="000F5BC1"/>
    <w:rsid w:val="00106D2A"/>
    <w:rsid w:val="001142B5"/>
    <w:rsid w:val="0012126A"/>
    <w:rsid w:val="001310D3"/>
    <w:rsid w:val="0013585C"/>
    <w:rsid w:val="00144403"/>
    <w:rsid w:val="00163F6B"/>
    <w:rsid w:val="00164527"/>
    <w:rsid w:val="00165BBD"/>
    <w:rsid w:val="0016735F"/>
    <w:rsid w:val="001700CE"/>
    <w:rsid w:val="001806DB"/>
    <w:rsid w:val="00184841"/>
    <w:rsid w:val="001B0D77"/>
    <w:rsid w:val="001B64D2"/>
    <w:rsid w:val="001B65AD"/>
    <w:rsid w:val="001C00DF"/>
    <w:rsid w:val="001C0F38"/>
    <w:rsid w:val="001C1BCA"/>
    <w:rsid w:val="001C428B"/>
    <w:rsid w:val="001D34CB"/>
    <w:rsid w:val="001F11B4"/>
    <w:rsid w:val="001F3B9D"/>
    <w:rsid w:val="001F5DDD"/>
    <w:rsid w:val="00207775"/>
    <w:rsid w:val="002159FC"/>
    <w:rsid w:val="00216277"/>
    <w:rsid w:val="00234A3B"/>
    <w:rsid w:val="002362CB"/>
    <w:rsid w:val="00237D8A"/>
    <w:rsid w:val="00252A39"/>
    <w:rsid w:val="0025343E"/>
    <w:rsid w:val="002617D0"/>
    <w:rsid w:val="002673C9"/>
    <w:rsid w:val="002A3343"/>
    <w:rsid w:val="002A506B"/>
    <w:rsid w:val="002C72F9"/>
    <w:rsid w:val="002D01EE"/>
    <w:rsid w:val="002D0561"/>
    <w:rsid w:val="002F37B2"/>
    <w:rsid w:val="002F450F"/>
    <w:rsid w:val="0030445B"/>
    <w:rsid w:val="00306532"/>
    <w:rsid w:val="003139E9"/>
    <w:rsid w:val="00323A65"/>
    <w:rsid w:val="00323BA0"/>
    <w:rsid w:val="0032613A"/>
    <w:rsid w:val="003312A9"/>
    <w:rsid w:val="003366A7"/>
    <w:rsid w:val="00350023"/>
    <w:rsid w:val="003525CE"/>
    <w:rsid w:val="00354534"/>
    <w:rsid w:val="0036695C"/>
    <w:rsid w:val="00377799"/>
    <w:rsid w:val="00381878"/>
    <w:rsid w:val="00387E8D"/>
    <w:rsid w:val="0039124E"/>
    <w:rsid w:val="00391275"/>
    <w:rsid w:val="0039273F"/>
    <w:rsid w:val="003B5FBC"/>
    <w:rsid w:val="003C479E"/>
    <w:rsid w:val="003D1583"/>
    <w:rsid w:val="003D207B"/>
    <w:rsid w:val="003E44FB"/>
    <w:rsid w:val="003F0398"/>
    <w:rsid w:val="003F44CC"/>
    <w:rsid w:val="00413328"/>
    <w:rsid w:val="004151D7"/>
    <w:rsid w:val="00417205"/>
    <w:rsid w:val="00425A04"/>
    <w:rsid w:val="004277E7"/>
    <w:rsid w:val="0043129D"/>
    <w:rsid w:val="0044217A"/>
    <w:rsid w:val="004454F5"/>
    <w:rsid w:val="004522F5"/>
    <w:rsid w:val="00463293"/>
    <w:rsid w:val="0048184E"/>
    <w:rsid w:val="0048683E"/>
    <w:rsid w:val="00492DAB"/>
    <w:rsid w:val="004A2ABF"/>
    <w:rsid w:val="004B37CF"/>
    <w:rsid w:val="004C1913"/>
    <w:rsid w:val="004C1DDF"/>
    <w:rsid w:val="004C22F0"/>
    <w:rsid w:val="004D2C37"/>
    <w:rsid w:val="004D717E"/>
    <w:rsid w:val="004E2836"/>
    <w:rsid w:val="004E48A9"/>
    <w:rsid w:val="004F1C4B"/>
    <w:rsid w:val="004F58BE"/>
    <w:rsid w:val="005004FD"/>
    <w:rsid w:val="005066A2"/>
    <w:rsid w:val="00514E3D"/>
    <w:rsid w:val="005168C8"/>
    <w:rsid w:val="00534F9F"/>
    <w:rsid w:val="00554146"/>
    <w:rsid w:val="00585B1D"/>
    <w:rsid w:val="005930FF"/>
    <w:rsid w:val="00597679"/>
    <w:rsid w:val="005A0A79"/>
    <w:rsid w:val="005A0D64"/>
    <w:rsid w:val="005A1EF7"/>
    <w:rsid w:val="005A3F91"/>
    <w:rsid w:val="005A6971"/>
    <w:rsid w:val="005A7E36"/>
    <w:rsid w:val="005B4B7C"/>
    <w:rsid w:val="005C668D"/>
    <w:rsid w:val="005C7022"/>
    <w:rsid w:val="005C786B"/>
    <w:rsid w:val="005D127C"/>
    <w:rsid w:val="005D1471"/>
    <w:rsid w:val="005D7E74"/>
    <w:rsid w:val="00601A01"/>
    <w:rsid w:val="00605D98"/>
    <w:rsid w:val="00627094"/>
    <w:rsid w:val="00651D56"/>
    <w:rsid w:val="00662776"/>
    <w:rsid w:val="00670822"/>
    <w:rsid w:val="006752EF"/>
    <w:rsid w:val="0067646F"/>
    <w:rsid w:val="00684A43"/>
    <w:rsid w:val="00687BD0"/>
    <w:rsid w:val="00696354"/>
    <w:rsid w:val="006A6B21"/>
    <w:rsid w:val="006D09CB"/>
    <w:rsid w:val="006E5E25"/>
    <w:rsid w:val="006F118D"/>
    <w:rsid w:val="0072403C"/>
    <w:rsid w:val="0072475C"/>
    <w:rsid w:val="007257C7"/>
    <w:rsid w:val="00730CFC"/>
    <w:rsid w:val="007505CC"/>
    <w:rsid w:val="00753342"/>
    <w:rsid w:val="007574B5"/>
    <w:rsid w:val="00761F49"/>
    <w:rsid w:val="00770E61"/>
    <w:rsid w:val="0077477F"/>
    <w:rsid w:val="0077565A"/>
    <w:rsid w:val="0077693C"/>
    <w:rsid w:val="00777866"/>
    <w:rsid w:val="0079455C"/>
    <w:rsid w:val="007C121F"/>
    <w:rsid w:val="007C53AB"/>
    <w:rsid w:val="007C5542"/>
    <w:rsid w:val="007C7661"/>
    <w:rsid w:val="007D4F9B"/>
    <w:rsid w:val="007F021C"/>
    <w:rsid w:val="007F78FB"/>
    <w:rsid w:val="0080043D"/>
    <w:rsid w:val="00811509"/>
    <w:rsid w:val="00812BC2"/>
    <w:rsid w:val="00831D2B"/>
    <w:rsid w:val="00837A83"/>
    <w:rsid w:val="00842698"/>
    <w:rsid w:val="00843CBC"/>
    <w:rsid w:val="00846F65"/>
    <w:rsid w:val="00847873"/>
    <w:rsid w:val="00847E01"/>
    <w:rsid w:val="00854772"/>
    <w:rsid w:val="008745F3"/>
    <w:rsid w:val="008777B8"/>
    <w:rsid w:val="00882466"/>
    <w:rsid w:val="00890432"/>
    <w:rsid w:val="008B4701"/>
    <w:rsid w:val="008B6D8A"/>
    <w:rsid w:val="008D5DF6"/>
    <w:rsid w:val="008F18BD"/>
    <w:rsid w:val="008F37B3"/>
    <w:rsid w:val="008F4767"/>
    <w:rsid w:val="009224A3"/>
    <w:rsid w:val="009247B8"/>
    <w:rsid w:val="00940CB4"/>
    <w:rsid w:val="00946499"/>
    <w:rsid w:val="009554C2"/>
    <w:rsid w:val="00971040"/>
    <w:rsid w:val="0098430C"/>
    <w:rsid w:val="00990B95"/>
    <w:rsid w:val="009A1F41"/>
    <w:rsid w:val="009A3912"/>
    <w:rsid w:val="009A50D2"/>
    <w:rsid w:val="009B4154"/>
    <w:rsid w:val="009C2A9F"/>
    <w:rsid w:val="009D0CF0"/>
    <w:rsid w:val="009D57F7"/>
    <w:rsid w:val="009E42A6"/>
    <w:rsid w:val="009F40CD"/>
    <w:rsid w:val="009F7C50"/>
    <w:rsid w:val="00A05873"/>
    <w:rsid w:val="00A0688F"/>
    <w:rsid w:val="00A126F3"/>
    <w:rsid w:val="00A420BC"/>
    <w:rsid w:val="00A47045"/>
    <w:rsid w:val="00A473BC"/>
    <w:rsid w:val="00A5556F"/>
    <w:rsid w:val="00A60736"/>
    <w:rsid w:val="00A84994"/>
    <w:rsid w:val="00A8650E"/>
    <w:rsid w:val="00A9161F"/>
    <w:rsid w:val="00A95B2F"/>
    <w:rsid w:val="00AA54E6"/>
    <w:rsid w:val="00AF1DD4"/>
    <w:rsid w:val="00B0101B"/>
    <w:rsid w:val="00B20F21"/>
    <w:rsid w:val="00B21504"/>
    <w:rsid w:val="00B335BA"/>
    <w:rsid w:val="00B43790"/>
    <w:rsid w:val="00B47FE0"/>
    <w:rsid w:val="00B64123"/>
    <w:rsid w:val="00B6510E"/>
    <w:rsid w:val="00B76131"/>
    <w:rsid w:val="00B7712A"/>
    <w:rsid w:val="00B813DC"/>
    <w:rsid w:val="00B949F6"/>
    <w:rsid w:val="00BA3F4C"/>
    <w:rsid w:val="00BD29AA"/>
    <w:rsid w:val="00BD425E"/>
    <w:rsid w:val="00BD6EFA"/>
    <w:rsid w:val="00BE551B"/>
    <w:rsid w:val="00BF26FE"/>
    <w:rsid w:val="00C03E98"/>
    <w:rsid w:val="00C040F2"/>
    <w:rsid w:val="00C049DF"/>
    <w:rsid w:val="00C21B7E"/>
    <w:rsid w:val="00C2239E"/>
    <w:rsid w:val="00C25986"/>
    <w:rsid w:val="00C27469"/>
    <w:rsid w:val="00C41E0A"/>
    <w:rsid w:val="00C55C5D"/>
    <w:rsid w:val="00C61FCA"/>
    <w:rsid w:val="00C65E3C"/>
    <w:rsid w:val="00C67E99"/>
    <w:rsid w:val="00C72E30"/>
    <w:rsid w:val="00C748FE"/>
    <w:rsid w:val="00C849C9"/>
    <w:rsid w:val="00C958D8"/>
    <w:rsid w:val="00C95E01"/>
    <w:rsid w:val="00CE2CFC"/>
    <w:rsid w:val="00CF0930"/>
    <w:rsid w:val="00D00E81"/>
    <w:rsid w:val="00D051BE"/>
    <w:rsid w:val="00D33C24"/>
    <w:rsid w:val="00D4137D"/>
    <w:rsid w:val="00D464CB"/>
    <w:rsid w:val="00D468B2"/>
    <w:rsid w:val="00D50203"/>
    <w:rsid w:val="00D504F9"/>
    <w:rsid w:val="00D56120"/>
    <w:rsid w:val="00D63624"/>
    <w:rsid w:val="00D66003"/>
    <w:rsid w:val="00D70F49"/>
    <w:rsid w:val="00D7191F"/>
    <w:rsid w:val="00D72D8B"/>
    <w:rsid w:val="00D81273"/>
    <w:rsid w:val="00D96656"/>
    <w:rsid w:val="00DA63CF"/>
    <w:rsid w:val="00DB7218"/>
    <w:rsid w:val="00DC603A"/>
    <w:rsid w:val="00DD38E6"/>
    <w:rsid w:val="00DE2FA1"/>
    <w:rsid w:val="00DF0806"/>
    <w:rsid w:val="00E02435"/>
    <w:rsid w:val="00E05E30"/>
    <w:rsid w:val="00E14596"/>
    <w:rsid w:val="00E163E4"/>
    <w:rsid w:val="00E201D1"/>
    <w:rsid w:val="00E27A13"/>
    <w:rsid w:val="00E32D2E"/>
    <w:rsid w:val="00E34166"/>
    <w:rsid w:val="00E345E4"/>
    <w:rsid w:val="00E3670E"/>
    <w:rsid w:val="00E36D5E"/>
    <w:rsid w:val="00E40813"/>
    <w:rsid w:val="00E4081E"/>
    <w:rsid w:val="00E46195"/>
    <w:rsid w:val="00E65FFB"/>
    <w:rsid w:val="00E712DA"/>
    <w:rsid w:val="00E71DF2"/>
    <w:rsid w:val="00E72C11"/>
    <w:rsid w:val="00E87C49"/>
    <w:rsid w:val="00EA4039"/>
    <w:rsid w:val="00EC1386"/>
    <w:rsid w:val="00EC1731"/>
    <w:rsid w:val="00EC36C1"/>
    <w:rsid w:val="00ED1F1C"/>
    <w:rsid w:val="00EE05CD"/>
    <w:rsid w:val="00EE22EA"/>
    <w:rsid w:val="00EF12AD"/>
    <w:rsid w:val="00F042BF"/>
    <w:rsid w:val="00F0526F"/>
    <w:rsid w:val="00F2196F"/>
    <w:rsid w:val="00F245AA"/>
    <w:rsid w:val="00F26657"/>
    <w:rsid w:val="00F27298"/>
    <w:rsid w:val="00F36399"/>
    <w:rsid w:val="00F37383"/>
    <w:rsid w:val="00F439FC"/>
    <w:rsid w:val="00F52A22"/>
    <w:rsid w:val="00F53C14"/>
    <w:rsid w:val="00F60A12"/>
    <w:rsid w:val="00F626D0"/>
    <w:rsid w:val="00F62EBA"/>
    <w:rsid w:val="00F63A26"/>
    <w:rsid w:val="00F6768A"/>
    <w:rsid w:val="00F726A8"/>
    <w:rsid w:val="00F77E9B"/>
    <w:rsid w:val="00F84B27"/>
    <w:rsid w:val="00F93633"/>
    <w:rsid w:val="00FA2DFC"/>
    <w:rsid w:val="00FB3BF4"/>
    <w:rsid w:val="00FB5AA4"/>
    <w:rsid w:val="00FC7B49"/>
    <w:rsid w:val="00FD0621"/>
    <w:rsid w:val="00FD5610"/>
    <w:rsid w:val="00FE2872"/>
    <w:rsid w:val="00FE45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698575"/>
  <w15:docId w15:val="{95F8D232-7782-40D8-810B-41F1E859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Arial" w:eastAsia="Arial" w:hAnsi="Arial" w:cs="Arial"/>
    </w:rPr>
  </w:style>
  <w:style w:type="paragraph" w:styleId="Kop1">
    <w:name w:val="heading 1"/>
    <w:basedOn w:val="Standaard"/>
    <w:uiPriority w:val="1"/>
    <w:qFormat/>
    <w:pPr>
      <w:spacing w:before="98"/>
      <w:ind w:left="2241"/>
      <w:outlineLvl w:val="0"/>
    </w:pPr>
    <w:rPr>
      <w:rFonts w:ascii="Verdana" w:eastAsia="Verdana" w:hAnsi="Verdana" w:cs="Verdana"/>
      <w:b/>
      <w:bCs/>
      <w:i/>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Lijstalinea">
    <w:name w:val="List Paragraph"/>
    <w:basedOn w:val="Standaard"/>
    <w:uiPriority w:val="1"/>
    <w:qFormat/>
    <w:pPr>
      <w:spacing w:before="9"/>
      <w:ind w:left="213" w:hanging="109"/>
    </w:pPr>
  </w:style>
  <w:style w:type="paragraph" w:customStyle="1" w:styleId="TableParagraph">
    <w:name w:val="Table Paragraph"/>
    <w:basedOn w:val="Standaard"/>
    <w:uiPriority w:val="1"/>
    <w:qFormat/>
    <w:pPr>
      <w:spacing w:before="84"/>
      <w:ind w:left="104"/>
    </w:pPr>
  </w:style>
  <w:style w:type="character" w:styleId="Verwijzingopmerking">
    <w:name w:val="annotation reference"/>
    <w:basedOn w:val="Standaardalinea-lettertype"/>
    <w:uiPriority w:val="99"/>
    <w:semiHidden/>
    <w:unhideWhenUsed/>
    <w:rsid w:val="005066A2"/>
    <w:rPr>
      <w:sz w:val="16"/>
      <w:szCs w:val="16"/>
    </w:rPr>
  </w:style>
  <w:style w:type="paragraph" w:styleId="Tekstopmerking">
    <w:name w:val="annotation text"/>
    <w:basedOn w:val="Standaard"/>
    <w:link w:val="TekstopmerkingChar"/>
    <w:uiPriority w:val="99"/>
    <w:unhideWhenUsed/>
    <w:rsid w:val="005066A2"/>
    <w:rPr>
      <w:sz w:val="20"/>
      <w:szCs w:val="20"/>
    </w:rPr>
  </w:style>
  <w:style w:type="character" w:customStyle="1" w:styleId="TekstopmerkingChar">
    <w:name w:val="Tekst opmerking Char"/>
    <w:basedOn w:val="Standaardalinea-lettertype"/>
    <w:link w:val="Tekstopmerking"/>
    <w:uiPriority w:val="99"/>
    <w:rsid w:val="005066A2"/>
    <w:rPr>
      <w:rFonts w:ascii="Arial" w:eastAsia="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5066A2"/>
    <w:rPr>
      <w:b/>
      <w:bCs/>
    </w:rPr>
  </w:style>
  <w:style w:type="character" w:customStyle="1" w:styleId="OnderwerpvanopmerkingChar">
    <w:name w:val="Onderwerp van opmerking Char"/>
    <w:basedOn w:val="TekstopmerkingChar"/>
    <w:link w:val="Onderwerpvanopmerking"/>
    <w:uiPriority w:val="99"/>
    <w:semiHidden/>
    <w:rsid w:val="005066A2"/>
    <w:rPr>
      <w:rFonts w:ascii="Arial" w:eastAsia="Arial" w:hAnsi="Arial" w:cs="Arial"/>
      <w:b/>
      <w:bCs/>
      <w:sz w:val="20"/>
      <w:szCs w:val="20"/>
    </w:rPr>
  </w:style>
  <w:style w:type="table" w:styleId="Tabelraster">
    <w:name w:val="Table Grid"/>
    <w:basedOn w:val="Standaardtabel"/>
    <w:uiPriority w:val="39"/>
    <w:rsid w:val="00F37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6627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nopgemaaktetabel1">
    <w:name w:val="Plain Table 1"/>
    <w:basedOn w:val="Standaardtabel"/>
    <w:uiPriority w:val="41"/>
    <w:rsid w:val="006627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Standaardalinea-lettertype"/>
    <w:uiPriority w:val="99"/>
    <w:unhideWhenUsed/>
    <w:rsid w:val="00A47045"/>
    <w:rPr>
      <w:color w:val="0000FF" w:themeColor="hyperlink"/>
      <w:u w:val="single"/>
    </w:rPr>
  </w:style>
  <w:style w:type="character" w:styleId="Onopgelostemelding">
    <w:name w:val="Unresolved Mention"/>
    <w:basedOn w:val="Standaardalinea-lettertype"/>
    <w:uiPriority w:val="99"/>
    <w:semiHidden/>
    <w:unhideWhenUsed/>
    <w:rsid w:val="00A47045"/>
    <w:rPr>
      <w:color w:val="605E5C"/>
      <w:shd w:val="clear" w:color="auto" w:fill="E1DFDD"/>
    </w:rPr>
  </w:style>
  <w:style w:type="paragraph" w:styleId="Bijschrift">
    <w:name w:val="caption"/>
    <w:basedOn w:val="Standaard"/>
    <w:next w:val="Standaard"/>
    <w:uiPriority w:val="35"/>
    <w:unhideWhenUsed/>
    <w:qFormat/>
    <w:rsid w:val="00831D2B"/>
    <w:pPr>
      <w:spacing w:after="200"/>
    </w:pPr>
    <w:rPr>
      <w:i/>
      <w:iCs/>
      <w:color w:val="1F497D" w:themeColor="text2"/>
      <w:sz w:val="18"/>
      <w:szCs w:val="18"/>
    </w:rPr>
  </w:style>
  <w:style w:type="character" w:customStyle="1" w:styleId="PlattetekstChar">
    <w:name w:val="Platte tekst Char"/>
    <w:basedOn w:val="Standaardalinea-lettertype"/>
    <w:link w:val="Plattetekst"/>
    <w:uiPriority w:val="1"/>
    <w:rsid w:val="00A5556F"/>
    <w:rPr>
      <w:rFonts w:ascii="Arial" w:eastAsia="Arial" w:hAnsi="Arial" w:cs="Arial"/>
      <w:sz w:val="14"/>
      <w:szCs w:val="14"/>
    </w:rPr>
  </w:style>
  <w:style w:type="paragraph" w:styleId="Voetnoottekst">
    <w:name w:val="footnote text"/>
    <w:basedOn w:val="Standaard"/>
    <w:link w:val="VoetnoottekstChar"/>
    <w:uiPriority w:val="99"/>
    <w:semiHidden/>
    <w:unhideWhenUsed/>
    <w:rsid w:val="005D127C"/>
    <w:rPr>
      <w:sz w:val="20"/>
      <w:szCs w:val="20"/>
    </w:rPr>
  </w:style>
  <w:style w:type="character" w:customStyle="1" w:styleId="VoetnoottekstChar">
    <w:name w:val="Voetnoottekst Char"/>
    <w:basedOn w:val="Standaardalinea-lettertype"/>
    <w:link w:val="Voetnoottekst"/>
    <w:uiPriority w:val="99"/>
    <w:semiHidden/>
    <w:rsid w:val="005D127C"/>
    <w:rPr>
      <w:rFonts w:ascii="Arial" w:eastAsia="Arial" w:hAnsi="Arial" w:cs="Arial"/>
      <w:sz w:val="20"/>
      <w:szCs w:val="20"/>
    </w:rPr>
  </w:style>
  <w:style w:type="character" w:styleId="Voetnootmarkering">
    <w:name w:val="footnote reference"/>
    <w:basedOn w:val="Standaardalinea-lettertype"/>
    <w:uiPriority w:val="99"/>
    <w:semiHidden/>
    <w:unhideWhenUsed/>
    <w:rsid w:val="005D127C"/>
    <w:rPr>
      <w:vertAlign w:val="superscript"/>
    </w:rPr>
  </w:style>
  <w:style w:type="character" w:styleId="GevolgdeHyperlink">
    <w:name w:val="FollowedHyperlink"/>
    <w:basedOn w:val="Standaardalinea-lettertype"/>
    <w:uiPriority w:val="99"/>
    <w:semiHidden/>
    <w:unhideWhenUsed/>
    <w:rsid w:val="003C479E"/>
    <w:rPr>
      <w:color w:val="800080" w:themeColor="followedHyperlink"/>
      <w:u w:val="single"/>
    </w:rPr>
  </w:style>
  <w:style w:type="paragraph" w:styleId="Koptekst">
    <w:name w:val="header"/>
    <w:basedOn w:val="Standaard"/>
    <w:link w:val="KoptekstChar"/>
    <w:uiPriority w:val="99"/>
    <w:semiHidden/>
    <w:unhideWhenUsed/>
    <w:rsid w:val="0048683E"/>
    <w:pPr>
      <w:tabs>
        <w:tab w:val="center" w:pos="4536"/>
        <w:tab w:val="right" w:pos="9072"/>
      </w:tabs>
    </w:pPr>
  </w:style>
  <w:style w:type="character" w:customStyle="1" w:styleId="KoptekstChar">
    <w:name w:val="Koptekst Char"/>
    <w:basedOn w:val="Standaardalinea-lettertype"/>
    <w:link w:val="Koptekst"/>
    <w:uiPriority w:val="99"/>
    <w:semiHidden/>
    <w:rsid w:val="0048683E"/>
    <w:rPr>
      <w:rFonts w:ascii="Arial" w:eastAsia="Arial" w:hAnsi="Arial" w:cs="Arial"/>
    </w:rPr>
  </w:style>
  <w:style w:type="paragraph" w:styleId="Voettekst">
    <w:name w:val="footer"/>
    <w:basedOn w:val="Standaard"/>
    <w:link w:val="VoettekstChar"/>
    <w:uiPriority w:val="99"/>
    <w:semiHidden/>
    <w:unhideWhenUsed/>
    <w:rsid w:val="0048683E"/>
    <w:pPr>
      <w:tabs>
        <w:tab w:val="center" w:pos="4536"/>
        <w:tab w:val="right" w:pos="9072"/>
      </w:tabs>
    </w:pPr>
  </w:style>
  <w:style w:type="character" w:customStyle="1" w:styleId="VoettekstChar">
    <w:name w:val="Voettekst Char"/>
    <w:basedOn w:val="Standaardalinea-lettertype"/>
    <w:link w:val="Voettekst"/>
    <w:uiPriority w:val="99"/>
    <w:semiHidden/>
    <w:rsid w:val="0048683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67814">
      <w:bodyDiv w:val="1"/>
      <w:marLeft w:val="0"/>
      <w:marRight w:val="0"/>
      <w:marTop w:val="0"/>
      <w:marBottom w:val="0"/>
      <w:divBdr>
        <w:top w:val="none" w:sz="0" w:space="0" w:color="auto"/>
        <w:left w:val="none" w:sz="0" w:space="0" w:color="auto"/>
        <w:bottom w:val="none" w:sz="0" w:space="0" w:color="auto"/>
        <w:right w:val="none" w:sz="0" w:space="0" w:color="auto"/>
      </w:divBdr>
    </w:div>
    <w:div w:id="486746084">
      <w:bodyDiv w:val="1"/>
      <w:marLeft w:val="0"/>
      <w:marRight w:val="0"/>
      <w:marTop w:val="0"/>
      <w:marBottom w:val="0"/>
      <w:divBdr>
        <w:top w:val="none" w:sz="0" w:space="0" w:color="auto"/>
        <w:left w:val="none" w:sz="0" w:space="0" w:color="auto"/>
        <w:bottom w:val="none" w:sz="0" w:space="0" w:color="auto"/>
        <w:right w:val="none" w:sz="0" w:space="0" w:color="auto"/>
      </w:divBdr>
    </w:div>
    <w:div w:id="1005522295">
      <w:bodyDiv w:val="1"/>
      <w:marLeft w:val="0"/>
      <w:marRight w:val="0"/>
      <w:marTop w:val="0"/>
      <w:marBottom w:val="0"/>
      <w:divBdr>
        <w:top w:val="none" w:sz="0" w:space="0" w:color="auto"/>
        <w:left w:val="none" w:sz="0" w:space="0" w:color="auto"/>
        <w:bottom w:val="none" w:sz="0" w:space="0" w:color="auto"/>
        <w:right w:val="none" w:sz="0" w:space="0" w:color="auto"/>
      </w:divBdr>
    </w:div>
    <w:div w:id="1100181643">
      <w:bodyDiv w:val="1"/>
      <w:marLeft w:val="0"/>
      <w:marRight w:val="0"/>
      <w:marTop w:val="0"/>
      <w:marBottom w:val="0"/>
      <w:divBdr>
        <w:top w:val="none" w:sz="0" w:space="0" w:color="auto"/>
        <w:left w:val="none" w:sz="0" w:space="0" w:color="auto"/>
        <w:bottom w:val="none" w:sz="0" w:space="0" w:color="auto"/>
        <w:right w:val="none" w:sz="0" w:space="0" w:color="auto"/>
      </w:divBdr>
    </w:div>
    <w:div w:id="1772821911">
      <w:bodyDiv w:val="1"/>
      <w:marLeft w:val="0"/>
      <w:marRight w:val="0"/>
      <w:marTop w:val="0"/>
      <w:marBottom w:val="0"/>
      <w:divBdr>
        <w:top w:val="none" w:sz="0" w:space="0" w:color="auto"/>
        <w:left w:val="none" w:sz="0" w:space="0" w:color="auto"/>
        <w:bottom w:val="none" w:sz="0" w:space="0" w:color="auto"/>
        <w:right w:val="none" w:sz="0" w:space="0" w:color="auto"/>
      </w:divBdr>
    </w:div>
    <w:div w:id="2015960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I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F0E933A488E040B1758A0CD2C076A7" ma:contentTypeVersion="16" ma:contentTypeDescription="Een nieuw document maken." ma:contentTypeScope="" ma:versionID="e561643d0b2338a2100b1359b2c1dbc2">
  <xsd:schema xmlns:xsd="http://www.w3.org/2001/XMLSchema" xmlns:xs="http://www.w3.org/2001/XMLSchema" xmlns:p="http://schemas.microsoft.com/office/2006/metadata/properties" xmlns:ns2="9f154a6f-eba5-4b28-a20f-0b0171c61e76" xmlns:ns3="1fbc8bfb-c644-49a8-8a8f-17ae3807728b" targetNamespace="http://schemas.microsoft.com/office/2006/metadata/properties" ma:root="true" ma:fieldsID="2f934293f7e5fd4c7addb6139a77d513" ns2:_="" ns3:_="">
    <xsd:import namespace="9f154a6f-eba5-4b28-a20f-0b0171c61e76"/>
    <xsd:import namespace="1fbc8bfb-c644-49a8-8a8f-17ae38077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4a6f-eba5-4b28-a20f-0b0171c61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cc670e7-cda0-4a05-96f7-e90aec684b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bc8bfb-c644-49a8-8a8f-17ae3807728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4d9d832-0093-473c-b606-b68531fe7286}" ma:internalName="TaxCatchAll" ma:showField="CatchAllData" ma:web="1fbc8bfb-c644-49a8-8a8f-17ae38077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326BE-2A8F-46AB-B3D7-899FD6CA86E0}">
  <ds:schemaRefs>
    <ds:schemaRef ds:uri="http://schemas.microsoft.com/sharepoint/v3/contenttype/forms"/>
  </ds:schemaRefs>
</ds:datastoreItem>
</file>

<file path=customXml/itemProps2.xml><?xml version="1.0" encoding="utf-8"?>
<ds:datastoreItem xmlns:ds="http://schemas.openxmlformats.org/officeDocument/2006/customXml" ds:itemID="{0923F06C-BD43-49C9-B861-B9050CAC1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54a6f-eba5-4b28-a20f-0b0171c61e76"/>
    <ds:schemaRef ds:uri="1fbc8bfb-c644-49a8-8a8f-17ae38077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1E479-0500-4032-B2BB-9DC012CC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1071</Words>
  <Characters>5896</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Regeling van de Minister van Onderwijs, Cultuur en Wetenschap van 20 juni 2018, nr. 1239490, inhoudende een regeling voor nadere aanvraagvereisten als bedoeld in artikel 6.2, vierde lid, en beleidsregels als bedoeld in de artikelen 6.2, achtste lid, 7.8a,</vt:lpstr>
      <vt:lpstr>Regeling van de Minister van Onderwijs, Cultuur en Wetenschap van 20 juni 2018, nr. 1239490, inhoudende een regeling voor nadere aanvraagvereisten als bedoeld in artikel 6.2, vierde lid, en beleidsregels als bedoeld in de artikelen 6.2, achtste lid, 7.8a,</vt:lpstr>
    </vt:vector>
  </TitlesOfParts>
  <Company>Nederlands Vlaamse Accreditatie Organisatie</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Regeling van de Minister van Onderwijs, Cultuur en Wetenschap van 20 juni 2018, nr. 1239490, inhoudende een regeling voor nadere aanvraagvereisten als bedoeld in artikel 6.2, vierde lid, en beleidsregels als bedoeld in de artikelen 6.2, achtste lid, 7.8a, eerste en tweede lid en 7.17, tweede lid, van de Wet op het hoger onderwijs en wetenschappelijk onderzoek (Regeling macrodoelmatigheid hoger onderwijs)</dc:title>
  <dc:creator>Ministerie van Onderwijs, Cultuur en Wetenschap</dc:creator>
  <cp:lastModifiedBy>Eliza van den Berg</cp:lastModifiedBy>
  <cp:revision>4</cp:revision>
  <dcterms:created xsi:type="dcterms:W3CDTF">2022-12-22T15:41:00Z</dcterms:created>
  <dcterms:modified xsi:type="dcterms:W3CDTF">2022-12-23T08:46:00Z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2018-06-21T00:00:00Z</vt:filetime>
  </property>
  <property fmtid="{D5CDD505-2E9C-101B-9397-08002B2CF9AE}" pid="3" name="Creator">
    <vt:lpwstr>XPP</vt:lpwstr>
  </property>
  <property fmtid="{D5CDD505-2E9C-101B-9397-08002B2CF9AE}" pid="4" name="LastSaved">
    <vt:filetime>2018-07-05T00:00:00Z</vt:filetime>
  </property>
</Properties>
</file>